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DF" w:rsidRDefault="00340EDF"/>
    <w:p w:rsidR="00340EDF" w:rsidRDefault="0031292E">
      <w:r>
        <w:rPr>
          <w:rFonts w:ascii="Franklin Gothic Book" w:hAnsi="Franklin Gothic Book"/>
          <w:noProof/>
          <w:sz w:val="22"/>
          <w:szCs w:val="22"/>
        </w:rPr>
        <w:drawing>
          <wp:anchor distT="0" distB="0" distL="114300" distR="114300" simplePos="0" relativeHeight="251659264" behindDoc="0" locked="0" layoutInCell="1" allowOverlap="1" wp14:anchorId="19379343" wp14:editId="04192917">
            <wp:simplePos x="0" y="0"/>
            <wp:positionH relativeFrom="column">
              <wp:posOffset>105410</wp:posOffset>
            </wp:positionH>
            <wp:positionV relativeFrom="paragraph">
              <wp:posOffset>-478790</wp:posOffset>
            </wp:positionV>
            <wp:extent cx="1390650" cy="1368425"/>
            <wp:effectExtent l="0" t="0" r="0" b="3175"/>
            <wp:wrapNone/>
            <wp:docPr id="2" name="Imagen 2" descr="Descripción: Descripción: Z:\pie de firma\eduardo rozas\eduardo.rozas_archivo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Z:\pie de firma\eduardo rozas\eduardo.rozas_archivos\image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68425"/>
                    </a:xfrm>
                    <a:prstGeom prst="rect">
                      <a:avLst/>
                    </a:prstGeom>
                    <a:noFill/>
                  </pic:spPr>
                </pic:pic>
              </a:graphicData>
            </a:graphic>
            <wp14:sizeRelH relativeFrom="page">
              <wp14:pctWidth>0</wp14:pctWidth>
            </wp14:sizeRelH>
            <wp14:sizeRelV relativeFrom="page">
              <wp14:pctHeight>0</wp14:pctHeight>
            </wp14:sizeRelV>
          </wp:anchor>
        </w:drawing>
      </w:r>
    </w:p>
    <w:p w:rsidR="00340EDF" w:rsidRDefault="00340EDF"/>
    <w:p w:rsidR="00C946D0" w:rsidRDefault="00C946D0"/>
    <w:p w:rsidR="00C946D0" w:rsidRDefault="00C946D0"/>
    <w:p w:rsidR="00C946D0" w:rsidRDefault="00C946D0"/>
    <w:tbl>
      <w:tblPr>
        <w:tblpPr w:leftFromText="45" w:rightFromText="45" w:vertAnchor="text" w:tblpXSpec="right" w:tblpYSpec="center"/>
        <w:tblW w:w="5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250"/>
      </w:tblGrid>
      <w:tr w:rsidR="003A1CDD" w:rsidRPr="00C60E01" w:rsidTr="009168EA">
        <w:trPr>
          <w:trHeight w:val="123"/>
          <w:tblCellSpacing w:w="15" w:type="dxa"/>
        </w:trPr>
        <w:tc>
          <w:tcPr>
            <w:tcW w:w="0" w:type="auto"/>
            <w:shd w:val="clear" w:color="auto" w:fill="FFFFFF"/>
            <w:vAlign w:val="center"/>
            <w:hideMark/>
          </w:tcPr>
          <w:p w:rsidR="007570B0" w:rsidRPr="00C60E01" w:rsidRDefault="00E50242" w:rsidP="0031292E">
            <w:pPr>
              <w:ind w:left="567"/>
              <w:jc w:val="both"/>
              <w:rPr>
                <w:rFonts w:ascii="Garamond" w:hAnsi="Garamond"/>
                <w:b/>
                <w:sz w:val="20"/>
                <w:szCs w:val="20"/>
              </w:rPr>
            </w:pPr>
            <w:r w:rsidRPr="00C60E01">
              <w:rPr>
                <w:rFonts w:ascii="Garamond" w:hAnsi="Garamond"/>
                <w:b/>
                <w:sz w:val="20"/>
                <w:szCs w:val="20"/>
              </w:rPr>
              <w:t>SE PRONUNCIA SOBRE NO ADMISIÓN</w:t>
            </w:r>
            <w:r w:rsidR="0031292E" w:rsidRPr="00C60E01">
              <w:rPr>
                <w:rFonts w:ascii="Garamond" w:hAnsi="Garamond"/>
                <w:b/>
                <w:sz w:val="20"/>
                <w:szCs w:val="20"/>
              </w:rPr>
              <w:t xml:space="preserve"> </w:t>
            </w:r>
            <w:r w:rsidR="00755AE5" w:rsidRPr="00C60E01">
              <w:rPr>
                <w:rFonts w:ascii="Garamond" w:hAnsi="Garamond"/>
                <w:b/>
                <w:sz w:val="20"/>
                <w:szCs w:val="20"/>
              </w:rPr>
              <w:t>A TRAMITE</w:t>
            </w:r>
            <w:r w:rsidR="0031292E" w:rsidRPr="00C60E01">
              <w:rPr>
                <w:rFonts w:ascii="Garamond" w:hAnsi="Garamond"/>
                <w:b/>
                <w:sz w:val="20"/>
                <w:szCs w:val="20"/>
              </w:rPr>
              <w:t xml:space="preserve"> EN CONSULTA DE PERTINENCIA DE INGRESO AL SEIA DEL PROYECTO </w:t>
            </w:r>
            <w:r w:rsidR="00C60E01" w:rsidRPr="00C60E01">
              <w:rPr>
                <w:rFonts w:ascii="Garamond" w:hAnsi="Garamond"/>
                <w:b/>
                <w:sz w:val="20"/>
                <w:szCs w:val="20"/>
              </w:rPr>
              <w:t>“AMPLIACION CAPACIDAD PLANTA DE TRATAMIENTO DE AGUA SERVIDAS</w:t>
            </w:r>
            <w:r w:rsidR="00CC63DB" w:rsidRPr="00C60E01">
              <w:rPr>
                <w:rFonts w:ascii="Garamond" w:hAnsi="Garamond"/>
                <w:b/>
                <w:sz w:val="20"/>
                <w:szCs w:val="20"/>
              </w:rPr>
              <w:t>”.</w:t>
            </w:r>
          </w:p>
          <w:p w:rsidR="00340EDF" w:rsidRPr="00C60E01" w:rsidRDefault="00340EDF" w:rsidP="0066784A">
            <w:pPr>
              <w:ind w:left="567"/>
              <w:jc w:val="both"/>
              <w:rPr>
                <w:rFonts w:ascii="Garamond" w:hAnsi="Garamond"/>
                <w:b/>
                <w:sz w:val="20"/>
                <w:szCs w:val="20"/>
              </w:rPr>
            </w:pPr>
          </w:p>
          <w:p w:rsidR="00C60E01" w:rsidRPr="00C60E01" w:rsidRDefault="00C60E01" w:rsidP="0066784A">
            <w:pPr>
              <w:ind w:left="567"/>
              <w:jc w:val="both"/>
              <w:rPr>
                <w:rFonts w:ascii="Garamond" w:hAnsi="Garamond"/>
                <w:b/>
                <w:sz w:val="20"/>
                <w:szCs w:val="20"/>
              </w:rPr>
            </w:pPr>
          </w:p>
          <w:p w:rsidR="00BA3E50" w:rsidRPr="00C60E01" w:rsidRDefault="00340EDF" w:rsidP="003A1CDD">
            <w:pPr>
              <w:ind w:left="567"/>
              <w:rPr>
                <w:rFonts w:ascii="Garamond" w:hAnsi="Garamond"/>
                <w:b/>
                <w:sz w:val="20"/>
                <w:szCs w:val="20"/>
              </w:rPr>
            </w:pPr>
            <w:r w:rsidRPr="00C60E01">
              <w:rPr>
                <w:rFonts w:ascii="Garamond" w:hAnsi="Garamond"/>
                <w:b/>
                <w:sz w:val="20"/>
                <w:szCs w:val="20"/>
              </w:rPr>
              <w:t>RESOLUCIÓN EXENTA Nº</w:t>
            </w:r>
            <w:r w:rsidR="00C60E01" w:rsidRPr="00C60E01">
              <w:rPr>
                <w:rFonts w:ascii="Garamond" w:hAnsi="Garamond"/>
                <w:b/>
                <w:sz w:val="20"/>
                <w:szCs w:val="20"/>
              </w:rPr>
              <w:t>10/2019</w:t>
            </w:r>
            <w:r w:rsidR="00BA3E50" w:rsidRPr="00C60E01">
              <w:rPr>
                <w:rFonts w:ascii="Garamond" w:hAnsi="Garamond"/>
                <w:b/>
                <w:sz w:val="20"/>
                <w:szCs w:val="20"/>
              </w:rPr>
              <w:br/>
            </w:r>
            <w:r w:rsidR="00BA3E50" w:rsidRPr="00C60E01">
              <w:rPr>
                <w:rFonts w:ascii="Garamond" w:hAnsi="Garamond"/>
                <w:b/>
                <w:sz w:val="20"/>
                <w:szCs w:val="20"/>
              </w:rPr>
              <w:br/>
            </w:r>
            <w:r w:rsidR="0031292E" w:rsidRPr="00C60E01">
              <w:rPr>
                <w:rFonts w:ascii="Garamond" w:hAnsi="Garamond"/>
                <w:b/>
                <w:sz w:val="20"/>
                <w:szCs w:val="20"/>
              </w:rPr>
              <w:t xml:space="preserve"> Talca, </w:t>
            </w:r>
            <w:r w:rsidR="00C60E01" w:rsidRPr="00C60E01">
              <w:rPr>
                <w:rFonts w:ascii="Garamond" w:hAnsi="Garamond"/>
                <w:b/>
                <w:sz w:val="20"/>
                <w:szCs w:val="20"/>
              </w:rPr>
              <w:t xml:space="preserve">15 </w:t>
            </w:r>
            <w:r w:rsidR="00407C7D" w:rsidRPr="00C60E01">
              <w:rPr>
                <w:rFonts w:ascii="Garamond" w:hAnsi="Garamond"/>
                <w:b/>
                <w:sz w:val="20"/>
                <w:szCs w:val="20"/>
              </w:rPr>
              <w:t xml:space="preserve"> de</w:t>
            </w:r>
            <w:r w:rsidR="00C60E01" w:rsidRPr="00C60E01">
              <w:rPr>
                <w:rFonts w:ascii="Garamond" w:hAnsi="Garamond"/>
                <w:b/>
                <w:sz w:val="20"/>
                <w:szCs w:val="20"/>
              </w:rPr>
              <w:t xml:space="preserve"> enero de 2019</w:t>
            </w:r>
            <w:r w:rsidR="00D120A6" w:rsidRPr="00C60E01">
              <w:rPr>
                <w:rFonts w:ascii="Garamond" w:hAnsi="Garamond"/>
                <w:b/>
                <w:sz w:val="20"/>
                <w:szCs w:val="20"/>
              </w:rPr>
              <w:t xml:space="preserve">                        </w:t>
            </w:r>
          </w:p>
          <w:p w:rsidR="00BA3E50" w:rsidRPr="00C60E01" w:rsidRDefault="005C42AF" w:rsidP="0066784A">
            <w:pPr>
              <w:ind w:left="567"/>
              <w:jc w:val="both"/>
              <w:rPr>
                <w:rFonts w:ascii="Garamond" w:hAnsi="Garamond"/>
                <w:b/>
                <w:sz w:val="20"/>
                <w:szCs w:val="20"/>
              </w:rPr>
            </w:pPr>
            <w:r w:rsidRPr="00C60E01">
              <w:rPr>
                <w:rFonts w:ascii="Garamond" w:hAnsi="Garamond"/>
                <w:b/>
                <w:sz w:val="20"/>
                <w:szCs w:val="20"/>
              </w:rPr>
              <w:t xml:space="preserve">                             </w:t>
            </w:r>
          </w:p>
        </w:tc>
      </w:tr>
    </w:tbl>
    <w:p w:rsidR="00BA3E50" w:rsidRPr="00C60E01" w:rsidRDefault="00BA3E50" w:rsidP="0066784A">
      <w:pPr>
        <w:pStyle w:val="NormalWeb"/>
        <w:shd w:val="clear" w:color="auto" w:fill="FFFFFF"/>
        <w:spacing w:before="0" w:beforeAutospacing="0" w:after="0" w:afterAutospacing="0"/>
        <w:rPr>
          <w:rFonts w:ascii="Garamond" w:hAnsi="Garamond" w:cs="Tahoma"/>
          <w:b/>
          <w:bCs/>
          <w:color w:val="000000"/>
          <w:sz w:val="20"/>
          <w:szCs w:val="20"/>
        </w:rPr>
      </w:pPr>
      <w:r w:rsidRPr="00C60E01">
        <w:rPr>
          <w:rFonts w:ascii="Garamond" w:hAnsi="Garamond" w:cs="Arial"/>
          <w:sz w:val="20"/>
          <w:szCs w:val="20"/>
        </w:rPr>
        <w:t xml:space="preserve">  </w:t>
      </w:r>
      <w:r w:rsidRPr="00C60E01">
        <w:rPr>
          <w:rFonts w:ascii="Garamond" w:hAnsi="Garamond" w:cs="Arial"/>
          <w:color w:val="000000"/>
          <w:sz w:val="20"/>
          <w:szCs w:val="20"/>
        </w:rPr>
        <w:br w:type="textWrapping" w:clear="all"/>
      </w:r>
      <w:r w:rsidRPr="00C60E01">
        <w:rPr>
          <w:rFonts w:ascii="Garamond" w:hAnsi="Garamond" w:cs="Tahoma"/>
          <w:b/>
          <w:bCs/>
          <w:color w:val="000000"/>
          <w:sz w:val="20"/>
          <w:szCs w:val="20"/>
        </w:rPr>
        <w:t>VISTOS:</w:t>
      </w:r>
    </w:p>
    <w:p w:rsidR="007C7E55" w:rsidRPr="00C60E01" w:rsidRDefault="007C7E55" w:rsidP="00C574AE">
      <w:pPr>
        <w:pStyle w:val="NormalWeb"/>
        <w:shd w:val="clear" w:color="auto" w:fill="FFFFFF"/>
        <w:spacing w:before="0" w:beforeAutospacing="0" w:after="0" w:afterAutospacing="0"/>
        <w:ind w:left="567" w:hanging="567"/>
        <w:rPr>
          <w:rFonts w:ascii="Garamond" w:hAnsi="Garamond" w:cs="Tahoma"/>
          <w:color w:val="000000"/>
          <w:sz w:val="20"/>
          <w:szCs w:val="20"/>
        </w:rPr>
      </w:pPr>
    </w:p>
    <w:p w:rsidR="00217CA8" w:rsidRPr="00217CA8" w:rsidRDefault="00217CA8" w:rsidP="00217CA8">
      <w:pPr>
        <w:numPr>
          <w:ilvl w:val="0"/>
          <w:numId w:val="19"/>
        </w:numPr>
        <w:jc w:val="both"/>
        <w:rPr>
          <w:rFonts w:ascii="Garamond" w:eastAsia="Times New Roman" w:hAnsi="Garamond" w:cs="Tahoma"/>
          <w:sz w:val="20"/>
          <w:szCs w:val="20"/>
          <w:lang w:eastAsia="en-US"/>
        </w:rPr>
      </w:pPr>
      <w:r w:rsidRPr="00217CA8">
        <w:rPr>
          <w:rFonts w:ascii="Garamond" w:eastAsia="Times New Roman" w:hAnsi="Garamond" w:cs="Tahoma"/>
          <w:sz w:val="20"/>
          <w:szCs w:val="20"/>
          <w:lang w:eastAsia="en-US"/>
        </w:rPr>
        <w:t>Lo dispuesto en la Ley N° 19.300, sobre Bases Generales del Medio Ambiente, publicada en el Diario Oficial el 9 de marzo de 1994 modificada por la Ley 20.417; el D.S. Nº 40 de 30 de octubre de 2012, del Ministerio del Medio Ambiente, que aprueba el nuevo Reglamento del Sistema de Evaluación de Impacto Ambiental, publicado en el Diario Oficial el 12 de agosto de 2013 y sus modificaciones; en el D.F.L. Nº 1/19.653, de 2000, del MINSEGPRES, que fija texto refundido, coordinado y sistematizado de la Ley Nº 18.575, Orgánica Constitucional de Bases Generales de la Administración del Estado; en la Ley Nº 19.880, sobre Bases de los Procedimientos Administrativos que rigen los Actos de los Órganos de la Administración del Estado; en la Resolución Exenta DD PP N°  758 de la Dirección Ejecutiva del Servicio de Evaluación Ambiental, de fecha 11 de junio de 2014, que designa a don Patricio Carrasco Tapia como primer Subrogante del Director Regional del Servicio de Evaluación Ambiental, región del Maule; y en la Resolución Nº 1.600, de 2008, de la Contraloría General de la República, que Fija Normas sobre Exención del Trámite de Toma de Razón.</w:t>
      </w:r>
    </w:p>
    <w:p w:rsidR="00E50242" w:rsidRPr="00C60E01" w:rsidRDefault="00E50242" w:rsidP="00E50242">
      <w:pPr>
        <w:ind w:left="567"/>
        <w:jc w:val="both"/>
        <w:rPr>
          <w:rFonts w:ascii="Garamond" w:eastAsia="Times New Roman" w:hAnsi="Garamond" w:cs="Tahoma"/>
          <w:sz w:val="20"/>
          <w:szCs w:val="20"/>
          <w:lang w:val="es-ES" w:eastAsia="es-ES"/>
        </w:rPr>
      </w:pPr>
    </w:p>
    <w:p w:rsidR="0066784A" w:rsidRPr="00C60E01" w:rsidRDefault="0066784A" w:rsidP="003A1CDD">
      <w:pPr>
        <w:numPr>
          <w:ilvl w:val="0"/>
          <w:numId w:val="19"/>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 xml:space="preserve">El Oficio Ordinario N° 131456 de fecha 12 de </w:t>
      </w:r>
      <w:r w:rsidR="00407C7D" w:rsidRPr="00C60E01">
        <w:rPr>
          <w:rFonts w:ascii="Garamond" w:eastAsia="Times New Roman" w:hAnsi="Garamond" w:cs="Tahoma"/>
          <w:sz w:val="20"/>
          <w:szCs w:val="20"/>
          <w:lang w:eastAsia="en-US"/>
        </w:rPr>
        <w:t>septiembre</w:t>
      </w:r>
      <w:r w:rsidRPr="00C60E01">
        <w:rPr>
          <w:rFonts w:ascii="Garamond" w:eastAsia="Times New Roman" w:hAnsi="Garamond" w:cs="Tahoma"/>
          <w:sz w:val="20"/>
          <w:szCs w:val="20"/>
          <w:lang w:eastAsia="en-US"/>
        </w:rPr>
        <w:t xml:space="preserve"> de 2013, de la Dirección Ejecutiva del SEA que “Imparte instrucciones sobre las consultas de pertinencia de ingreso al sistema de evaluación de impacto ambiental”.</w:t>
      </w:r>
    </w:p>
    <w:p w:rsidR="00C079D2" w:rsidRPr="00C60E01" w:rsidRDefault="00C079D2" w:rsidP="00C079D2">
      <w:pPr>
        <w:ind w:left="360"/>
        <w:jc w:val="both"/>
        <w:rPr>
          <w:rFonts w:ascii="Garamond" w:eastAsia="Times New Roman" w:hAnsi="Garamond" w:cs="Tahoma"/>
          <w:sz w:val="20"/>
          <w:szCs w:val="20"/>
          <w:lang w:eastAsia="en-US"/>
        </w:rPr>
      </w:pPr>
    </w:p>
    <w:p w:rsidR="00407C7D" w:rsidRPr="00C60E01" w:rsidRDefault="00B0664B" w:rsidP="00C60E01">
      <w:pPr>
        <w:numPr>
          <w:ilvl w:val="0"/>
          <w:numId w:val="19"/>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 xml:space="preserve">La </w:t>
      </w:r>
      <w:r w:rsidR="00407C7D" w:rsidRPr="00C60E01">
        <w:rPr>
          <w:rFonts w:ascii="Garamond" w:eastAsia="Times New Roman" w:hAnsi="Garamond" w:cs="Tahoma"/>
          <w:sz w:val="20"/>
          <w:szCs w:val="20"/>
          <w:lang w:eastAsia="en-US"/>
        </w:rPr>
        <w:t xml:space="preserve">presentación de fecha </w:t>
      </w:r>
      <w:r w:rsidR="00C60E01">
        <w:rPr>
          <w:rFonts w:ascii="Garamond" w:eastAsia="Times New Roman" w:hAnsi="Garamond" w:cs="Tahoma"/>
          <w:sz w:val="20"/>
          <w:szCs w:val="20"/>
          <w:lang w:eastAsia="en-US"/>
        </w:rPr>
        <w:t>26 de octubre</w:t>
      </w:r>
      <w:r w:rsidR="00407C7D" w:rsidRPr="00C60E01">
        <w:rPr>
          <w:rFonts w:ascii="Garamond" w:eastAsia="Times New Roman" w:hAnsi="Garamond" w:cs="Tahoma"/>
          <w:sz w:val="20"/>
          <w:szCs w:val="20"/>
          <w:lang w:eastAsia="en-US"/>
        </w:rPr>
        <w:t xml:space="preserve"> de 2018, por medio de la cual el Sr. </w:t>
      </w:r>
      <w:r w:rsidR="00C60E01" w:rsidRPr="00C60E01">
        <w:rPr>
          <w:rFonts w:ascii="Garamond" w:eastAsia="Times New Roman" w:hAnsi="Garamond" w:cs="Tahoma"/>
          <w:sz w:val="20"/>
          <w:szCs w:val="20"/>
          <w:lang w:eastAsia="en-US"/>
        </w:rPr>
        <w:t>Eduardo Aquiles Verdugo Gómez</w:t>
      </w:r>
      <w:r w:rsidR="00407C7D" w:rsidRPr="00C60E01">
        <w:rPr>
          <w:rFonts w:ascii="Garamond" w:eastAsia="Times New Roman" w:hAnsi="Garamond" w:cs="Tahoma"/>
          <w:sz w:val="20"/>
          <w:szCs w:val="20"/>
          <w:lang w:eastAsia="en-US"/>
        </w:rPr>
        <w:t xml:space="preserve">, solicitó pronunciamiento sobre la pertinencia de ingreso al SEIA del proyecto denominado </w:t>
      </w:r>
      <w:r w:rsidR="00407C7D" w:rsidRPr="00C60E01">
        <w:rPr>
          <w:rFonts w:ascii="Garamond" w:eastAsia="Times New Roman" w:hAnsi="Garamond" w:cs="Tahoma"/>
          <w:i/>
          <w:sz w:val="20"/>
          <w:szCs w:val="20"/>
          <w:lang w:eastAsia="en-US"/>
        </w:rPr>
        <w:t>“</w:t>
      </w:r>
      <w:r w:rsidR="00C60E01" w:rsidRPr="00C60E01">
        <w:rPr>
          <w:rFonts w:ascii="Garamond" w:eastAsia="Times New Roman" w:hAnsi="Garamond" w:cs="Tahoma"/>
          <w:i/>
          <w:sz w:val="20"/>
          <w:szCs w:val="20"/>
          <w:lang w:eastAsia="en-US"/>
        </w:rPr>
        <w:t>AMPLIACION CAPACIDAD PLANTA DE TRATAMIENTO DE AGUA SERVIDAS</w:t>
      </w:r>
      <w:r w:rsidR="00407C7D" w:rsidRPr="00C60E01">
        <w:rPr>
          <w:rFonts w:ascii="Garamond" w:eastAsia="Times New Roman" w:hAnsi="Garamond" w:cs="Tahoma"/>
          <w:i/>
          <w:sz w:val="20"/>
          <w:szCs w:val="20"/>
          <w:lang w:eastAsia="en-US"/>
        </w:rPr>
        <w:t>”.</w:t>
      </w:r>
    </w:p>
    <w:p w:rsidR="00CF2F24" w:rsidRPr="00C60E01" w:rsidRDefault="00CF2F24" w:rsidP="0066784A">
      <w:pPr>
        <w:shd w:val="clear" w:color="auto" w:fill="FFFFFF"/>
        <w:ind w:left="1440"/>
        <w:rPr>
          <w:rFonts w:ascii="Garamond" w:eastAsia="Times New Roman" w:hAnsi="Garamond" w:cs="Tahoma"/>
          <w:color w:val="000000"/>
          <w:sz w:val="20"/>
          <w:szCs w:val="20"/>
          <w:lang w:val="es-ES"/>
        </w:rPr>
      </w:pPr>
    </w:p>
    <w:p w:rsidR="00BA3E50" w:rsidRPr="00C60E01" w:rsidRDefault="00BA3E50" w:rsidP="0066784A">
      <w:pPr>
        <w:shd w:val="clear" w:color="auto" w:fill="FFFFFF"/>
        <w:rPr>
          <w:rFonts w:ascii="Garamond" w:eastAsia="Times New Roman" w:hAnsi="Garamond" w:cs="Tahoma"/>
          <w:b/>
          <w:bCs/>
          <w:color w:val="000000"/>
          <w:sz w:val="20"/>
          <w:szCs w:val="20"/>
        </w:rPr>
      </w:pPr>
      <w:r w:rsidRPr="00C60E01">
        <w:rPr>
          <w:rFonts w:ascii="Garamond" w:eastAsia="Times New Roman" w:hAnsi="Garamond" w:cs="Tahoma"/>
          <w:b/>
          <w:bCs/>
          <w:color w:val="000000"/>
          <w:sz w:val="20"/>
          <w:szCs w:val="20"/>
        </w:rPr>
        <w:t>CONSIDERANDO:</w:t>
      </w:r>
    </w:p>
    <w:p w:rsidR="0066784A" w:rsidRPr="00C60E01" w:rsidRDefault="0066784A" w:rsidP="0066784A">
      <w:pPr>
        <w:shd w:val="clear" w:color="auto" w:fill="FFFFFF"/>
        <w:rPr>
          <w:rFonts w:ascii="Garamond" w:eastAsia="Times New Roman" w:hAnsi="Garamond" w:cs="Tahoma"/>
          <w:color w:val="000000"/>
          <w:sz w:val="20"/>
          <w:szCs w:val="20"/>
        </w:rPr>
      </w:pPr>
    </w:p>
    <w:p w:rsidR="00C574AE" w:rsidRPr="00C60E01" w:rsidRDefault="00C574AE" w:rsidP="00C946D0">
      <w:pPr>
        <w:numPr>
          <w:ilvl w:val="0"/>
          <w:numId w:val="20"/>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 xml:space="preserve">Que, con fecha </w:t>
      </w:r>
      <w:r w:rsidR="00C60E01" w:rsidRPr="00C60E01">
        <w:rPr>
          <w:rFonts w:ascii="Garamond" w:eastAsia="Times New Roman" w:hAnsi="Garamond" w:cs="Tahoma"/>
          <w:sz w:val="20"/>
          <w:szCs w:val="20"/>
          <w:lang w:eastAsia="en-US"/>
        </w:rPr>
        <w:t>26 de octubre</w:t>
      </w:r>
      <w:r w:rsidR="00C946D0" w:rsidRPr="00C60E01">
        <w:rPr>
          <w:rFonts w:ascii="Garamond" w:eastAsia="Times New Roman" w:hAnsi="Garamond" w:cs="Tahoma"/>
          <w:sz w:val="20"/>
          <w:szCs w:val="20"/>
          <w:lang w:eastAsia="en-US"/>
        </w:rPr>
        <w:t xml:space="preserve"> </w:t>
      </w:r>
      <w:r w:rsidR="00407C7D" w:rsidRPr="00C60E01">
        <w:rPr>
          <w:rFonts w:ascii="Garamond" w:eastAsia="Times New Roman" w:hAnsi="Garamond" w:cs="Tahoma"/>
          <w:sz w:val="20"/>
          <w:szCs w:val="20"/>
          <w:lang w:eastAsia="en-US"/>
        </w:rPr>
        <w:t>de 2018</w:t>
      </w:r>
      <w:r w:rsidR="00B0664B" w:rsidRPr="00C60E01">
        <w:rPr>
          <w:rFonts w:ascii="Garamond" w:eastAsia="Times New Roman" w:hAnsi="Garamond" w:cs="Tahoma"/>
          <w:sz w:val="20"/>
          <w:szCs w:val="20"/>
          <w:lang w:eastAsia="en-US"/>
        </w:rPr>
        <w:t>,</w:t>
      </w:r>
      <w:r w:rsidR="003500AE" w:rsidRPr="00C60E01">
        <w:rPr>
          <w:rFonts w:ascii="Garamond" w:eastAsia="Times New Roman" w:hAnsi="Garamond" w:cs="Tahoma"/>
          <w:sz w:val="20"/>
          <w:szCs w:val="20"/>
          <w:lang w:eastAsia="en-US"/>
        </w:rPr>
        <w:t xml:space="preserve"> </w:t>
      </w:r>
      <w:r w:rsidR="00FD1563" w:rsidRPr="00C60E01">
        <w:rPr>
          <w:rFonts w:ascii="Garamond" w:eastAsia="Times New Roman" w:hAnsi="Garamond" w:cs="Tahoma"/>
          <w:sz w:val="20"/>
          <w:szCs w:val="20"/>
          <w:lang w:eastAsia="en-US"/>
        </w:rPr>
        <w:t xml:space="preserve">el Sr. </w:t>
      </w:r>
      <w:r w:rsidR="00C946D0" w:rsidRPr="00C60E01">
        <w:rPr>
          <w:rFonts w:ascii="Garamond" w:eastAsia="Times New Roman" w:hAnsi="Garamond" w:cs="Tahoma"/>
          <w:sz w:val="20"/>
          <w:szCs w:val="20"/>
          <w:lang w:eastAsia="en-US"/>
        </w:rPr>
        <w:t>Cristián Morales Vidal</w:t>
      </w:r>
      <w:r w:rsidR="00B0664B" w:rsidRPr="00C60E01">
        <w:rPr>
          <w:rFonts w:ascii="Garamond" w:eastAsia="Times New Roman" w:hAnsi="Garamond" w:cs="Tahoma"/>
          <w:sz w:val="20"/>
          <w:szCs w:val="20"/>
          <w:lang w:eastAsia="en-US"/>
        </w:rPr>
        <w:t>,</w:t>
      </w:r>
      <w:r w:rsidR="00FD1563" w:rsidRPr="00C60E01">
        <w:rPr>
          <w:rFonts w:ascii="Garamond" w:eastAsia="Times New Roman" w:hAnsi="Garamond" w:cs="Tahoma"/>
          <w:sz w:val="20"/>
          <w:szCs w:val="20"/>
          <w:lang w:eastAsia="en-US"/>
        </w:rPr>
        <w:t xml:space="preserve"> </w:t>
      </w:r>
      <w:r w:rsidRPr="00C60E01">
        <w:rPr>
          <w:rFonts w:ascii="Garamond" w:eastAsia="Times New Roman" w:hAnsi="Garamond" w:cs="Tahoma"/>
          <w:sz w:val="20"/>
          <w:szCs w:val="20"/>
          <w:lang w:eastAsia="en-US"/>
        </w:rPr>
        <w:t xml:space="preserve">consultó la pertinencia de ingreso al SEIA respecto del proyecto </w:t>
      </w:r>
      <w:r w:rsidRPr="00C60E01">
        <w:rPr>
          <w:rFonts w:ascii="Garamond" w:eastAsia="Times New Roman" w:hAnsi="Garamond" w:cs="Tahoma"/>
          <w:i/>
          <w:sz w:val="20"/>
          <w:szCs w:val="20"/>
          <w:lang w:eastAsia="en-US"/>
        </w:rPr>
        <w:t>“</w:t>
      </w:r>
      <w:r w:rsidR="00C60E01" w:rsidRPr="00C60E01">
        <w:rPr>
          <w:rFonts w:ascii="Garamond" w:eastAsia="Times New Roman" w:hAnsi="Garamond" w:cs="Tahoma"/>
          <w:i/>
          <w:sz w:val="20"/>
          <w:szCs w:val="20"/>
          <w:lang w:eastAsia="en-US"/>
        </w:rPr>
        <w:t>AMPLIACION CAPACIDAD PLANTA DE TRATAMIENTO DE AGUA SERVIDAS</w:t>
      </w:r>
      <w:r w:rsidRPr="00C60E01">
        <w:rPr>
          <w:rFonts w:ascii="Garamond" w:eastAsia="Times New Roman" w:hAnsi="Garamond" w:cs="Tahoma"/>
          <w:i/>
          <w:sz w:val="20"/>
          <w:szCs w:val="20"/>
          <w:lang w:eastAsia="en-US"/>
        </w:rPr>
        <w:t>”</w:t>
      </w:r>
      <w:r w:rsidRPr="00C60E01">
        <w:rPr>
          <w:rFonts w:ascii="Garamond" w:eastAsia="Times New Roman" w:hAnsi="Garamond" w:cs="Tahoma"/>
          <w:sz w:val="20"/>
          <w:szCs w:val="20"/>
          <w:lang w:eastAsia="en-US"/>
        </w:rPr>
        <w:t xml:space="preserve"> ante la Dirección Regional </w:t>
      </w:r>
      <w:r w:rsidR="009459C5" w:rsidRPr="00C60E01">
        <w:rPr>
          <w:rFonts w:ascii="Garamond" w:eastAsia="Times New Roman" w:hAnsi="Garamond" w:cs="Tahoma"/>
          <w:sz w:val="20"/>
          <w:szCs w:val="20"/>
          <w:lang w:eastAsia="en-US"/>
        </w:rPr>
        <w:t xml:space="preserve">del SEA </w:t>
      </w:r>
      <w:r w:rsidR="003500AE" w:rsidRPr="00C60E01">
        <w:rPr>
          <w:rFonts w:ascii="Garamond" w:eastAsia="Times New Roman" w:hAnsi="Garamond" w:cs="Tahoma"/>
          <w:sz w:val="20"/>
          <w:szCs w:val="20"/>
          <w:lang w:eastAsia="en-US"/>
        </w:rPr>
        <w:t xml:space="preserve">del Maule </w:t>
      </w:r>
      <w:r w:rsidRPr="00C60E01">
        <w:rPr>
          <w:rFonts w:ascii="Garamond" w:eastAsia="Times New Roman" w:hAnsi="Garamond" w:cs="Tahoma"/>
          <w:sz w:val="20"/>
          <w:szCs w:val="20"/>
          <w:lang w:eastAsia="en-US"/>
        </w:rPr>
        <w:t>del SEA.</w:t>
      </w:r>
    </w:p>
    <w:p w:rsidR="003A1CDD" w:rsidRPr="00C60E01" w:rsidRDefault="003A1CDD" w:rsidP="003A1CDD">
      <w:pPr>
        <w:ind w:left="360"/>
        <w:jc w:val="both"/>
        <w:rPr>
          <w:rFonts w:ascii="Garamond" w:eastAsia="Times New Roman" w:hAnsi="Garamond" w:cs="Tahoma"/>
          <w:sz w:val="20"/>
          <w:szCs w:val="20"/>
          <w:lang w:eastAsia="en-US"/>
        </w:rPr>
      </w:pPr>
    </w:p>
    <w:p w:rsidR="00514EB2" w:rsidRPr="00C60E01" w:rsidRDefault="00514EB2" w:rsidP="00E50242">
      <w:pPr>
        <w:numPr>
          <w:ilvl w:val="0"/>
          <w:numId w:val="20"/>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 xml:space="preserve">Que, </w:t>
      </w:r>
      <w:r w:rsidR="00FD1563" w:rsidRPr="00C60E01">
        <w:rPr>
          <w:rFonts w:ascii="Garamond" w:eastAsia="Times New Roman" w:hAnsi="Garamond" w:cs="Tahoma"/>
          <w:sz w:val="20"/>
          <w:szCs w:val="20"/>
          <w:lang w:eastAsia="en-US"/>
        </w:rPr>
        <w:t xml:space="preserve">la consulta </w:t>
      </w:r>
      <w:r w:rsidR="000A4496" w:rsidRPr="00C60E01">
        <w:rPr>
          <w:rFonts w:ascii="Garamond" w:eastAsia="Times New Roman" w:hAnsi="Garamond" w:cs="Tahoma"/>
          <w:sz w:val="20"/>
          <w:szCs w:val="20"/>
          <w:lang w:eastAsia="en-US"/>
        </w:rPr>
        <w:t>ingresada</w:t>
      </w:r>
      <w:r w:rsidR="00FD1563" w:rsidRPr="00C60E01">
        <w:rPr>
          <w:rFonts w:ascii="Garamond" w:eastAsia="Times New Roman" w:hAnsi="Garamond" w:cs="Tahoma"/>
          <w:sz w:val="20"/>
          <w:szCs w:val="20"/>
          <w:lang w:eastAsia="en-US"/>
        </w:rPr>
        <w:t xml:space="preserve">, no acompaña la documentación y antecedentes mínimos requeridos para el adecuado tratamiento a las consultas de pertinencia de ingreso de proyectos o actividades al Sistema de </w:t>
      </w:r>
      <w:r w:rsidR="00755AE5" w:rsidRPr="00C60E01">
        <w:rPr>
          <w:rFonts w:ascii="Garamond" w:eastAsia="Times New Roman" w:hAnsi="Garamond" w:cs="Tahoma"/>
          <w:sz w:val="20"/>
          <w:szCs w:val="20"/>
          <w:lang w:eastAsia="en-US"/>
        </w:rPr>
        <w:t xml:space="preserve">Evaluación de Impacto Ambiental, </w:t>
      </w:r>
      <w:r w:rsidR="00B0664B" w:rsidRPr="00C60E01">
        <w:rPr>
          <w:rFonts w:ascii="Garamond" w:eastAsia="Times New Roman" w:hAnsi="Garamond" w:cs="Tahoma"/>
          <w:sz w:val="20"/>
          <w:szCs w:val="20"/>
          <w:lang w:eastAsia="en-US"/>
        </w:rPr>
        <w:t xml:space="preserve">según lo requerido en el </w:t>
      </w:r>
      <w:r w:rsidR="00755AE5" w:rsidRPr="00C60E01">
        <w:rPr>
          <w:rFonts w:ascii="Garamond" w:eastAsia="Times New Roman" w:hAnsi="Garamond" w:cs="Tahoma"/>
          <w:sz w:val="20"/>
          <w:szCs w:val="20"/>
          <w:lang w:eastAsia="en-US"/>
        </w:rPr>
        <w:t>Of. Ord. singularizado en el Vistos N°</w:t>
      </w:r>
      <w:r w:rsidR="00B0664B" w:rsidRPr="00C60E01">
        <w:rPr>
          <w:rFonts w:ascii="Garamond" w:eastAsia="Times New Roman" w:hAnsi="Garamond" w:cs="Tahoma"/>
          <w:sz w:val="20"/>
          <w:szCs w:val="20"/>
          <w:lang w:eastAsia="en-US"/>
        </w:rPr>
        <w:t>2</w:t>
      </w:r>
      <w:r w:rsidR="00755AE5" w:rsidRPr="00C60E01">
        <w:rPr>
          <w:rFonts w:ascii="Garamond" w:eastAsia="Times New Roman" w:hAnsi="Garamond" w:cs="Tahoma"/>
          <w:sz w:val="20"/>
          <w:szCs w:val="20"/>
          <w:lang w:eastAsia="en-US"/>
        </w:rPr>
        <w:t xml:space="preserve"> de la presente resolución.</w:t>
      </w:r>
    </w:p>
    <w:p w:rsidR="00E50242" w:rsidRPr="00C60E01" w:rsidRDefault="00E50242" w:rsidP="00E50242">
      <w:pPr>
        <w:ind w:left="360"/>
        <w:jc w:val="both"/>
        <w:rPr>
          <w:rFonts w:ascii="Garamond" w:eastAsia="Times New Roman" w:hAnsi="Garamond" w:cs="Tahoma"/>
          <w:sz w:val="20"/>
          <w:szCs w:val="20"/>
          <w:lang w:eastAsia="en-US"/>
        </w:rPr>
      </w:pPr>
    </w:p>
    <w:p w:rsidR="00E50242" w:rsidRPr="00C60E01" w:rsidRDefault="00E50242" w:rsidP="00E50242">
      <w:pPr>
        <w:pStyle w:val="Prrafodelista"/>
        <w:numPr>
          <w:ilvl w:val="0"/>
          <w:numId w:val="20"/>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 xml:space="preserve"> Que,</w:t>
      </w:r>
      <w:r w:rsidR="009459C5" w:rsidRPr="00C60E01">
        <w:rPr>
          <w:rFonts w:ascii="Garamond" w:eastAsia="Times New Roman" w:hAnsi="Garamond" w:cs="Tahoma"/>
          <w:sz w:val="20"/>
          <w:szCs w:val="20"/>
          <w:lang w:eastAsia="en-US"/>
        </w:rPr>
        <w:t xml:space="preserve"> por</w:t>
      </w:r>
      <w:r w:rsidR="00FD1563" w:rsidRPr="00C60E01">
        <w:rPr>
          <w:rFonts w:ascii="Garamond" w:eastAsia="Times New Roman" w:hAnsi="Garamond" w:cs="Tahoma"/>
          <w:sz w:val="20"/>
          <w:szCs w:val="20"/>
          <w:lang w:eastAsia="en-US"/>
        </w:rPr>
        <w:t xml:space="preserve"> lo</w:t>
      </w:r>
      <w:r w:rsidR="009459C5" w:rsidRPr="00C60E01">
        <w:rPr>
          <w:rFonts w:ascii="Garamond" w:eastAsia="Times New Roman" w:hAnsi="Garamond" w:cs="Tahoma"/>
          <w:sz w:val="20"/>
          <w:szCs w:val="20"/>
          <w:lang w:eastAsia="en-US"/>
        </w:rPr>
        <w:t xml:space="preserve"> expuesto en el considerando</w:t>
      </w:r>
      <w:r w:rsidR="00FD1563" w:rsidRPr="00C60E01">
        <w:rPr>
          <w:rFonts w:ascii="Garamond" w:eastAsia="Times New Roman" w:hAnsi="Garamond" w:cs="Tahoma"/>
          <w:sz w:val="20"/>
          <w:szCs w:val="20"/>
          <w:lang w:eastAsia="en-US"/>
        </w:rPr>
        <w:t xml:space="preserve"> anterior</w:t>
      </w:r>
      <w:r w:rsidR="009459C5" w:rsidRPr="00C60E01">
        <w:rPr>
          <w:rFonts w:ascii="Garamond" w:eastAsia="Times New Roman" w:hAnsi="Garamond" w:cs="Tahoma"/>
          <w:sz w:val="20"/>
          <w:szCs w:val="20"/>
          <w:lang w:eastAsia="en-US"/>
        </w:rPr>
        <w:t xml:space="preserve">, </w:t>
      </w:r>
      <w:r w:rsidR="00FD1563" w:rsidRPr="00C60E01">
        <w:rPr>
          <w:rFonts w:ascii="Garamond" w:eastAsia="Times New Roman" w:hAnsi="Garamond" w:cs="Tahoma"/>
          <w:sz w:val="20"/>
          <w:szCs w:val="20"/>
          <w:lang w:eastAsia="en-US"/>
        </w:rPr>
        <w:t xml:space="preserve">la solicitud no cumple con los requisitos asociados a </w:t>
      </w:r>
      <w:r w:rsidR="009459C5" w:rsidRPr="00C60E01">
        <w:rPr>
          <w:rFonts w:ascii="Garamond" w:eastAsia="Times New Roman" w:hAnsi="Garamond" w:cs="Tahoma"/>
          <w:sz w:val="20"/>
          <w:szCs w:val="20"/>
          <w:lang w:eastAsia="en-US"/>
        </w:rPr>
        <w:t>la presentación de una</w:t>
      </w:r>
      <w:r w:rsidR="00FD1563" w:rsidRPr="00C60E01">
        <w:rPr>
          <w:rFonts w:ascii="Garamond" w:eastAsia="Times New Roman" w:hAnsi="Garamond" w:cs="Tahoma"/>
          <w:sz w:val="20"/>
          <w:szCs w:val="20"/>
          <w:lang w:eastAsia="en-US"/>
        </w:rPr>
        <w:t xml:space="preserve"> consulta de</w:t>
      </w:r>
      <w:r w:rsidR="00755AE5" w:rsidRPr="00C60E01">
        <w:rPr>
          <w:rFonts w:ascii="Garamond" w:eastAsia="Times New Roman" w:hAnsi="Garamond" w:cs="Tahoma"/>
          <w:sz w:val="20"/>
          <w:szCs w:val="20"/>
          <w:lang w:eastAsia="en-US"/>
        </w:rPr>
        <w:t xml:space="preserve"> pertinencia de ingreso al SEIA, toda vez que no entrega entre otros antecedentes</w:t>
      </w:r>
      <w:r w:rsidR="00C946D0" w:rsidRPr="00C60E01">
        <w:rPr>
          <w:rFonts w:ascii="Garamond" w:eastAsia="Times New Roman" w:hAnsi="Garamond" w:cs="Tahoma"/>
          <w:sz w:val="20"/>
          <w:szCs w:val="20"/>
          <w:lang w:eastAsia="en-US"/>
        </w:rPr>
        <w:t>, los siguientes</w:t>
      </w:r>
      <w:r w:rsidR="00755AE5" w:rsidRPr="00C60E01">
        <w:rPr>
          <w:rFonts w:ascii="Garamond" w:eastAsia="Times New Roman" w:hAnsi="Garamond" w:cs="Tahoma"/>
          <w:sz w:val="20"/>
          <w:szCs w:val="20"/>
          <w:lang w:eastAsia="en-US"/>
        </w:rPr>
        <w:t>:</w:t>
      </w:r>
    </w:p>
    <w:p w:rsidR="005526A9" w:rsidRPr="00C60E01" w:rsidRDefault="009459C5" w:rsidP="00C60E01">
      <w:pPr>
        <w:numPr>
          <w:ilvl w:val="0"/>
          <w:numId w:val="24"/>
        </w:numPr>
        <w:jc w:val="both"/>
        <w:rPr>
          <w:rFonts w:ascii="Garamond" w:hAnsi="Garamond" w:cs="Tahoma"/>
          <w:sz w:val="20"/>
          <w:szCs w:val="20"/>
        </w:rPr>
      </w:pPr>
      <w:r w:rsidRPr="00C60E01">
        <w:rPr>
          <w:rFonts w:ascii="Garamond" w:hAnsi="Garamond" w:cs="Tahoma"/>
          <w:sz w:val="20"/>
          <w:szCs w:val="20"/>
        </w:rPr>
        <w:t xml:space="preserve">Datos </w:t>
      </w:r>
      <w:r w:rsidR="00C60E01" w:rsidRPr="00C60E01">
        <w:rPr>
          <w:rFonts w:ascii="Garamond" w:hAnsi="Garamond" w:cs="Tahoma"/>
          <w:sz w:val="20"/>
          <w:szCs w:val="20"/>
        </w:rPr>
        <w:t>y antecedentes de la</w:t>
      </w:r>
      <w:r w:rsidR="005526A9" w:rsidRPr="00C60E01">
        <w:rPr>
          <w:rFonts w:ascii="Garamond" w:hAnsi="Garamond" w:cs="Tahoma"/>
          <w:sz w:val="20"/>
          <w:szCs w:val="20"/>
        </w:rPr>
        <w:t xml:space="preserve"> </w:t>
      </w:r>
      <w:r w:rsidR="00C60E01" w:rsidRPr="00C60E01">
        <w:rPr>
          <w:rFonts w:ascii="Garamond" w:hAnsi="Garamond" w:cs="Tahoma"/>
          <w:sz w:val="20"/>
          <w:szCs w:val="20"/>
        </w:rPr>
        <w:t>Cooperativa de Agua Potable de Sarmiento, titular del proyecto.</w:t>
      </w:r>
    </w:p>
    <w:p w:rsidR="00C079D2" w:rsidRPr="00C60E01" w:rsidRDefault="00C079D2" w:rsidP="00C079D2">
      <w:pPr>
        <w:numPr>
          <w:ilvl w:val="0"/>
          <w:numId w:val="24"/>
        </w:numPr>
        <w:jc w:val="both"/>
        <w:rPr>
          <w:rFonts w:ascii="Garamond" w:hAnsi="Garamond" w:cs="Tahoma"/>
          <w:sz w:val="20"/>
          <w:szCs w:val="20"/>
        </w:rPr>
      </w:pPr>
      <w:r w:rsidRPr="00C60E01">
        <w:rPr>
          <w:rFonts w:ascii="Garamond" w:hAnsi="Garamond" w:cs="Tahoma"/>
          <w:sz w:val="20"/>
          <w:szCs w:val="20"/>
        </w:rPr>
        <w:t xml:space="preserve">Firma </w:t>
      </w:r>
      <w:r w:rsidR="005526A9" w:rsidRPr="00C60E01">
        <w:rPr>
          <w:rFonts w:ascii="Garamond" w:hAnsi="Garamond" w:cs="Tahoma"/>
          <w:sz w:val="20"/>
          <w:szCs w:val="20"/>
        </w:rPr>
        <w:t xml:space="preserve">original </w:t>
      </w:r>
      <w:r w:rsidRPr="00C60E01">
        <w:rPr>
          <w:rFonts w:ascii="Garamond" w:hAnsi="Garamond" w:cs="Tahoma"/>
          <w:sz w:val="20"/>
          <w:szCs w:val="20"/>
        </w:rPr>
        <w:t xml:space="preserve">del Representante legal de la </w:t>
      </w:r>
      <w:r w:rsidR="00C60E01" w:rsidRPr="00C60E01">
        <w:rPr>
          <w:rFonts w:ascii="Garamond" w:hAnsi="Garamond" w:cs="Tahoma"/>
          <w:sz w:val="20"/>
          <w:szCs w:val="20"/>
        </w:rPr>
        <w:t>Cooperativa</w:t>
      </w:r>
      <w:r w:rsidRPr="00C60E01">
        <w:rPr>
          <w:rFonts w:ascii="Garamond" w:hAnsi="Garamond" w:cs="Tahoma"/>
          <w:sz w:val="20"/>
          <w:szCs w:val="20"/>
        </w:rPr>
        <w:t xml:space="preserve"> de la intensidad de su voluntad</w:t>
      </w:r>
    </w:p>
    <w:p w:rsidR="00C079D2" w:rsidRPr="00C60E01" w:rsidRDefault="00C079D2" w:rsidP="00C079D2">
      <w:pPr>
        <w:numPr>
          <w:ilvl w:val="0"/>
          <w:numId w:val="24"/>
        </w:numPr>
        <w:jc w:val="both"/>
        <w:rPr>
          <w:rFonts w:ascii="Garamond" w:hAnsi="Garamond" w:cs="Tahoma"/>
          <w:sz w:val="20"/>
          <w:szCs w:val="20"/>
        </w:rPr>
      </w:pPr>
      <w:r w:rsidRPr="00C60E01">
        <w:rPr>
          <w:rFonts w:ascii="Garamond" w:hAnsi="Garamond" w:cs="Tahoma"/>
          <w:sz w:val="20"/>
          <w:szCs w:val="20"/>
        </w:rPr>
        <w:t>Fotocopia simple de Cédula de Identidad del representante legal.</w:t>
      </w:r>
    </w:p>
    <w:p w:rsidR="00755AE5" w:rsidRPr="00C60E01" w:rsidRDefault="00755AE5" w:rsidP="00755AE5">
      <w:pPr>
        <w:numPr>
          <w:ilvl w:val="0"/>
          <w:numId w:val="24"/>
        </w:numPr>
        <w:jc w:val="both"/>
        <w:rPr>
          <w:rFonts w:ascii="Garamond" w:hAnsi="Garamond" w:cs="Tahoma"/>
          <w:sz w:val="20"/>
          <w:szCs w:val="20"/>
        </w:rPr>
      </w:pPr>
      <w:r w:rsidRPr="00C60E01">
        <w:rPr>
          <w:rFonts w:ascii="Garamond" w:hAnsi="Garamond" w:cs="Tahoma"/>
          <w:sz w:val="20"/>
          <w:szCs w:val="20"/>
        </w:rPr>
        <w:t>Descr</w:t>
      </w:r>
      <w:r w:rsidR="005526A9" w:rsidRPr="00C60E01">
        <w:rPr>
          <w:rFonts w:ascii="Garamond" w:hAnsi="Garamond" w:cs="Tahoma"/>
          <w:sz w:val="20"/>
          <w:szCs w:val="20"/>
        </w:rPr>
        <w:t>ipción del proyecto o actividad modificado</w:t>
      </w:r>
      <w:r w:rsidRPr="00C60E01">
        <w:rPr>
          <w:rFonts w:ascii="Garamond" w:hAnsi="Garamond" w:cs="Tahoma"/>
          <w:sz w:val="20"/>
          <w:szCs w:val="20"/>
        </w:rPr>
        <w:t>.</w:t>
      </w:r>
      <w:r w:rsidR="005526A9" w:rsidRPr="00C60E01">
        <w:rPr>
          <w:rFonts w:ascii="Garamond" w:hAnsi="Garamond" w:cs="Tahoma"/>
          <w:sz w:val="20"/>
          <w:szCs w:val="20"/>
        </w:rPr>
        <w:t xml:space="preserve"> En efecto, el </w:t>
      </w:r>
      <w:r w:rsidR="00217CA8">
        <w:rPr>
          <w:rFonts w:ascii="Garamond" w:hAnsi="Garamond" w:cs="Tahoma"/>
          <w:sz w:val="20"/>
          <w:szCs w:val="20"/>
        </w:rPr>
        <w:t>proponente</w:t>
      </w:r>
      <w:r w:rsidR="005526A9" w:rsidRPr="00C60E01">
        <w:rPr>
          <w:rFonts w:ascii="Garamond" w:hAnsi="Garamond" w:cs="Tahoma"/>
          <w:sz w:val="20"/>
          <w:szCs w:val="20"/>
        </w:rPr>
        <w:t xml:space="preserve"> señala que la Consulta de Pertinencia corresponde a una modificación sin RCA, pero no entrega los ant</w:t>
      </w:r>
      <w:r w:rsidR="00C946D0" w:rsidRPr="00C60E01">
        <w:rPr>
          <w:rFonts w:ascii="Garamond" w:hAnsi="Garamond" w:cs="Tahoma"/>
          <w:sz w:val="20"/>
          <w:szCs w:val="20"/>
        </w:rPr>
        <w:t>ecedentes del proyecto original, como así tampoco, los antecedentes que descarten que el cambio propuesto no es de consideración.</w:t>
      </w:r>
    </w:p>
    <w:p w:rsidR="00755AE5" w:rsidRPr="00C60E01" w:rsidRDefault="00755AE5" w:rsidP="00755AE5">
      <w:pPr>
        <w:numPr>
          <w:ilvl w:val="0"/>
          <w:numId w:val="24"/>
        </w:numPr>
        <w:jc w:val="both"/>
        <w:rPr>
          <w:rFonts w:ascii="Garamond" w:hAnsi="Garamond" w:cs="Tahoma"/>
          <w:sz w:val="20"/>
          <w:szCs w:val="20"/>
        </w:rPr>
      </w:pPr>
      <w:r w:rsidRPr="00C60E01">
        <w:rPr>
          <w:rFonts w:ascii="Garamond" w:hAnsi="Garamond" w:cs="Tahoma"/>
          <w:sz w:val="20"/>
          <w:szCs w:val="20"/>
        </w:rPr>
        <w:t xml:space="preserve">Indicación de las características generadas del proyecto o actividad y sus cualidades específicas, de acuerdo con las posibles tipologías establecidas en el artículo 10 de la Ley N° 19.300 y especificadas en el artículo 3 del Reglamento del SEIA. </w:t>
      </w:r>
    </w:p>
    <w:p w:rsidR="00755AE5" w:rsidRPr="00C60E01" w:rsidRDefault="00755AE5" w:rsidP="00755AE5">
      <w:pPr>
        <w:pStyle w:val="Default"/>
        <w:ind w:left="1404"/>
        <w:jc w:val="both"/>
        <w:rPr>
          <w:rFonts w:ascii="Garamond" w:hAnsi="Garamond"/>
          <w:sz w:val="20"/>
          <w:szCs w:val="20"/>
        </w:rPr>
      </w:pPr>
    </w:p>
    <w:p w:rsidR="00E50242" w:rsidRPr="00C60E01" w:rsidRDefault="00E50242" w:rsidP="00E50242">
      <w:pPr>
        <w:pStyle w:val="Prrafodelista"/>
        <w:numPr>
          <w:ilvl w:val="0"/>
          <w:numId w:val="20"/>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lastRenderedPageBreak/>
        <w:t xml:space="preserve">Que, </w:t>
      </w:r>
      <w:r w:rsidR="00B0664B" w:rsidRPr="00C60E01">
        <w:rPr>
          <w:rFonts w:ascii="Garamond" w:eastAsia="Times New Roman" w:hAnsi="Garamond" w:cs="Tahoma"/>
          <w:sz w:val="20"/>
          <w:szCs w:val="20"/>
          <w:lang w:eastAsia="en-US"/>
        </w:rPr>
        <w:t>por su parte el artículo 41 de la Ley N°19.880</w:t>
      </w:r>
      <w:r w:rsidR="009459C5" w:rsidRPr="00C60E01">
        <w:rPr>
          <w:rFonts w:ascii="Garamond" w:eastAsia="Times New Roman" w:hAnsi="Garamond" w:cs="Tahoma"/>
          <w:sz w:val="20"/>
          <w:szCs w:val="20"/>
          <w:lang w:eastAsia="en-US"/>
        </w:rPr>
        <w:t>, en lo pertinente</w:t>
      </w:r>
      <w:r w:rsidR="00B0664B" w:rsidRPr="00C60E01">
        <w:rPr>
          <w:rFonts w:ascii="Garamond" w:eastAsia="Times New Roman" w:hAnsi="Garamond" w:cs="Tahoma"/>
          <w:sz w:val="20"/>
          <w:szCs w:val="20"/>
          <w:lang w:eastAsia="en-US"/>
        </w:rPr>
        <w:t xml:space="preserve"> dispone que </w:t>
      </w:r>
      <w:r w:rsidR="009459C5" w:rsidRPr="00C60E01">
        <w:rPr>
          <w:rFonts w:ascii="Garamond" w:eastAsia="Times New Roman" w:hAnsi="Garamond" w:cs="Tahoma"/>
          <w:sz w:val="20"/>
          <w:szCs w:val="20"/>
          <w:lang w:eastAsia="en-US"/>
        </w:rPr>
        <w:t xml:space="preserve">la Administración </w:t>
      </w:r>
      <w:r w:rsidR="00B0664B" w:rsidRPr="00C60E01">
        <w:rPr>
          <w:rFonts w:ascii="Garamond" w:eastAsia="Times New Roman" w:hAnsi="Garamond" w:cs="Tahoma"/>
          <w:sz w:val="20"/>
          <w:szCs w:val="20"/>
          <w:lang w:eastAsia="en-US"/>
        </w:rPr>
        <w:t xml:space="preserve">“podrá resolver la </w:t>
      </w:r>
      <w:r w:rsidR="00B0664B" w:rsidRPr="00C60E01">
        <w:rPr>
          <w:rFonts w:ascii="Garamond" w:eastAsia="Times New Roman" w:hAnsi="Garamond" w:cs="Tahoma"/>
          <w:sz w:val="20"/>
          <w:szCs w:val="20"/>
          <w:u w:val="single"/>
          <w:lang w:eastAsia="en-US"/>
        </w:rPr>
        <w:t>inadmisibilidad</w:t>
      </w:r>
      <w:r w:rsidR="00B0664B" w:rsidRPr="00C60E01">
        <w:rPr>
          <w:rFonts w:ascii="Garamond" w:eastAsia="Times New Roman" w:hAnsi="Garamond" w:cs="Tahoma"/>
          <w:sz w:val="20"/>
          <w:szCs w:val="20"/>
          <w:lang w:eastAsia="en-US"/>
        </w:rPr>
        <w:t xml:space="preserve"> de las solicitudes de reconocimiento de derechos no previstos en el ordenamiento jurídico o manifiestamente carentes de </w:t>
      </w:r>
      <w:r w:rsidR="0042762C" w:rsidRPr="00C60E01">
        <w:rPr>
          <w:rFonts w:ascii="Garamond" w:eastAsia="Times New Roman" w:hAnsi="Garamond" w:cs="Tahoma"/>
          <w:sz w:val="20"/>
          <w:szCs w:val="20"/>
          <w:lang w:eastAsia="en-US"/>
        </w:rPr>
        <w:t>fundamento “</w:t>
      </w:r>
      <w:r w:rsidR="00B0664B" w:rsidRPr="00C60E01">
        <w:rPr>
          <w:rFonts w:ascii="Garamond" w:eastAsia="Times New Roman" w:hAnsi="Garamond" w:cs="Tahoma"/>
          <w:sz w:val="20"/>
          <w:szCs w:val="20"/>
          <w:lang w:eastAsia="en-US"/>
        </w:rPr>
        <w:t>. (Énfasis agregado).</w:t>
      </w:r>
    </w:p>
    <w:p w:rsidR="00B0664B" w:rsidRPr="00C60E01" w:rsidRDefault="00B0664B" w:rsidP="00B0664B">
      <w:pPr>
        <w:pStyle w:val="Prrafodelista"/>
        <w:ind w:left="360"/>
        <w:jc w:val="both"/>
        <w:rPr>
          <w:rFonts w:ascii="Garamond" w:eastAsia="Times New Roman" w:hAnsi="Garamond" w:cs="Tahoma"/>
          <w:sz w:val="20"/>
          <w:szCs w:val="20"/>
          <w:lang w:eastAsia="en-US"/>
        </w:rPr>
      </w:pPr>
    </w:p>
    <w:p w:rsidR="00B0664B" w:rsidRPr="00C60E01" w:rsidRDefault="00B0664B" w:rsidP="00B0664B">
      <w:pPr>
        <w:pStyle w:val="Prrafodelista"/>
        <w:numPr>
          <w:ilvl w:val="0"/>
          <w:numId w:val="20"/>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Que, en atención al incumplimiento de los requisitos formales de presentación de su solicitud de consulta de pertin</w:t>
      </w:r>
      <w:r w:rsidR="009459C5" w:rsidRPr="00C60E01">
        <w:rPr>
          <w:rFonts w:ascii="Garamond" w:eastAsia="Times New Roman" w:hAnsi="Garamond" w:cs="Tahoma"/>
          <w:sz w:val="20"/>
          <w:szCs w:val="20"/>
          <w:lang w:eastAsia="en-US"/>
        </w:rPr>
        <w:t>encia de ingreso ya mencionados, el proponente ha realizado una presentación manifiestamente carente de fundamento.</w:t>
      </w:r>
    </w:p>
    <w:p w:rsidR="009459C5" w:rsidRPr="00C60E01" w:rsidRDefault="009459C5" w:rsidP="009459C5">
      <w:pPr>
        <w:pStyle w:val="Prrafodelista"/>
        <w:ind w:left="360"/>
        <w:jc w:val="both"/>
        <w:rPr>
          <w:rFonts w:ascii="Garamond" w:eastAsia="Times New Roman" w:hAnsi="Garamond" w:cs="Tahoma"/>
          <w:sz w:val="20"/>
          <w:szCs w:val="20"/>
          <w:lang w:eastAsia="en-US"/>
        </w:rPr>
      </w:pPr>
    </w:p>
    <w:p w:rsidR="009459C5" w:rsidRPr="00C60E01" w:rsidRDefault="009459C5" w:rsidP="00B0664B">
      <w:pPr>
        <w:pStyle w:val="Prrafodelista"/>
        <w:numPr>
          <w:ilvl w:val="0"/>
          <w:numId w:val="20"/>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Que, en atención a lo expuesto.</w:t>
      </w:r>
    </w:p>
    <w:p w:rsidR="003A1CDD" w:rsidRPr="00C60E01" w:rsidRDefault="003A1CDD" w:rsidP="003A1CDD">
      <w:pPr>
        <w:ind w:left="360"/>
        <w:jc w:val="both"/>
        <w:rPr>
          <w:rFonts w:ascii="Garamond" w:eastAsia="Times New Roman" w:hAnsi="Garamond" w:cs="Tahoma"/>
          <w:sz w:val="20"/>
          <w:szCs w:val="20"/>
          <w:lang w:eastAsia="en-US"/>
        </w:rPr>
      </w:pPr>
    </w:p>
    <w:p w:rsidR="00BA3E50" w:rsidRPr="00C60E01" w:rsidRDefault="00BA3E50" w:rsidP="0066784A">
      <w:pPr>
        <w:shd w:val="clear" w:color="auto" w:fill="FFFFFF"/>
        <w:ind w:left="567" w:hanging="567"/>
        <w:rPr>
          <w:rFonts w:ascii="Garamond" w:eastAsia="Times New Roman" w:hAnsi="Garamond" w:cs="Tahoma"/>
          <w:b/>
          <w:bCs/>
          <w:color w:val="000000"/>
          <w:sz w:val="20"/>
          <w:szCs w:val="20"/>
        </w:rPr>
      </w:pPr>
      <w:r w:rsidRPr="00C60E01">
        <w:rPr>
          <w:rFonts w:ascii="Garamond" w:eastAsia="Times New Roman" w:hAnsi="Garamond" w:cs="Tahoma"/>
          <w:b/>
          <w:bCs/>
          <w:color w:val="000000"/>
          <w:sz w:val="20"/>
          <w:szCs w:val="20"/>
        </w:rPr>
        <w:t>RESUELVO:</w:t>
      </w:r>
    </w:p>
    <w:p w:rsidR="0066784A" w:rsidRPr="00C60E01" w:rsidRDefault="0066784A" w:rsidP="0066784A">
      <w:pPr>
        <w:shd w:val="clear" w:color="auto" w:fill="FFFFFF"/>
        <w:ind w:left="567" w:hanging="567"/>
        <w:rPr>
          <w:rFonts w:ascii="Garamond" w:eastAsia="Times New Roman" w:hAnsi="Garamond" w:cs="Tahoma"/>
          <w:b/>
          <w:color w:val="000000"/>
          <w:sz w:val="20"/>
          <w:szCs w:val="20"/>
        </w:rPr>
      </w:pPr>
    </w:p>
    <w:p w:rsidR="00BA3E50" w:rsidRPr="00C60E01" w:rsidRDefault="002464AE" w:rsidP="005526A9">
      <w:pPr>
        <w:numPr>
          <w:ilvl w:val="0"/>
          <w:numId w:val="21"/>
        </w:numPr>
        <w:jc w:val="both"/>
        <w:rPr>
          <w:rFonts w:ascii="Garamond" w:eastAsia="Times New Roman" w:hAnsi="Garamond" w:cs="Tahoma"/>
          <w:sz w:val="20"/>
          <w:szCs w:val="20"/>
          <w:lang w:eastAsia="en-US"/>
        </w:rPr>
      </w:pPr>
      <w:r w:rsidRPr="00C60E01">
        <w:rPr>
          <w:rFonts w:ascii="Garamond" w:eastAsia="Times New Roman" w:hAnsi="Garamond" w:cs="Tahoma"/>
          <w:b/>
          <w:sz w:val="20"/>
          <w:szCs w:val="20"/>
          <w:lang w:eastAsia="en-US"/>
        </w:rPr>
        <w:t>No Acoger a Trámite</w:t>
      </w:r>
      <w:r w:rsidR="00BA3E50" w:rsidRPr="00C60E01">
        <w:rPr>
          <w:rFonts w:ascii="Garamond" w:eastAsia="Times New Roman" w:hAnsi="Garamond" w:cs="Tahoma"/>
          <w:sz w:val="20"/>
          <w:szCs w:val="20"/>
          <w:lang w:eastAsia="en-US"/>
        </w:rPr>
        <w:t xml:space="preserve"> la </w:t>
      </w:r>
      <w:r w:rsidR="00292127" w:rsidRPr="00C60E01">
        <w:rPr>
          <w:rFonts w:ascii="Garamond" w:eastAsia="Times New Roman" w:hAnsi="Garamond" w:cs="Tahoma"/>
          <w:sz w:val="20"/>
          <w:szCs w:val="20"/>
          <w:lang w:eastAsia="en-US"/>
        </w:rPr>
        <w:t>c</w:t>
      </w:r>
      <w:r w:rsidR="00BA3E50" w:rsidRPr="00C60E01">
        <w:rPr>
          <w:rFonts w:ascii="Garamond" w:eastAsia="Times New Roman" w:hAnsi="Garamond" w:cs="Tahoma"/>
          <w:sz w:val="20"/>
          <w:szCs w:val="20"/>
          <w:lang w:eastAsia="en-US"/>
        </w:rPr>
        <w:t xml:space="preserve">onsulta de </w:t>
      </w:r>
      <w:r w:rsidR="00292127" w:rsidRPr="00C60E01">
        <w:rPr>
          <w:rFonts w:ascii="Garamond" w:eastAsia="Times New Roman" w:hAnsi="Garamond" w:cs="Tahoma"/>
          <w:sz w:val="20"/>
          <w:szCs w:val="20"/>
          <w:lang w:eastAsia="en-US"/>
        </w:rPr>
        <w:t>p</w:t>
      </w:r>
      <w:r w:rsidR="00BA3E50" w:rsidRPr="00C60E01">
        <w:rPr>
          <w:rFonts w:ascii="Garamond" w:eastAsia="Times New Roman" w:hAnsi="Garamond" w:cs="Tahoma"/>
          <w:sz w:val="20"/>
          <w:szCs w:val="20"/>
          <w:lang w:eastAsia="en-US"/>
        </w:rPr>
        <w:t xml:space="preserve">ertinencia de </w:t>
      </w:r>
      <w:r w:rsidR="00292127" w:rsidRPr="00C60E01">
        <w:rPr>
          <w:rFonts w:ascii="Garamond" w:eastAsia="Times New Roman" w:hAnsi="Garamond" w:cs="Tahoma"/>
          <w:sz w:val="20"/>
          <w:szCs w:val="20"/>
          <w:lang w:eastAsia="en-US"/>
        </w:rPr>
        <w:t>i</w:t>
      </w:r>
      <w:r w:rsidR="00BA3E50" w:rsidRPr="00C60E01">
        <w:rPr>
          <w:rFonts w:ascii="Garamond" w:eastAsia="Times New Roman" w:hAnsi="Garamond" w:cs="Tahoma"/>
          <w:sz w:val="20"/>
          <w:szCs w:val="20"/>
          <w:lang w:eastAsia="en-US"/>
        </w:rPr>
        <w:t xml:space="preserve">ngreso </w:t>
      </w:r>
      <w:r w:rsidR="009168EA" w:rsidRPr="00C60E01">
        <w:rPr>
          <w:rFonts w:ascii="Garamond" w:eastAsia="Times New Roman" w:hAnsi="Garamond" w:cs="Tahoma"/>
          <w:sz w:val="20"/>
          <w:szCs w:val="20"/>
          <w:lang w:eastAsia="en-US"/>
        </w:rPr>
        <w:t xml:space="preserve">al SEIA </w:t>
      </w:r>
      <w:r w:rsidR="00BA3E50" w:rsidRPr="00C60E01">
        <w:rPr>
          <w:rFonts w:ascii="Garamond" w:eastAsia="Times New Roman" w:hAnsi="Garamond" w:cs="Tahoma"/>
          <w:sz w:val="20"/>
          <w:szCs w:val="20"/>
          <w:lang w:eastAsia="en-US"/>
        </w:rPr>
        <w:t xml:space="preserve">del </w:t>
      </w:r>
      <w:r w:rsidR="003273A6" w:rsidRPr="00C60E01">
        <w:rPr>
          <w:rFonts w:ascii="Garamond" w:eastAsia="Times New Roman" w:hAnsi="Garamond" w:cs="Tahoma"/>
          <w:sz w:val="20"/>
          <w:szCs w:val="20"/>
          <w:lang w:eastAsia="en-US"/>
        </w:rPr>
        <w:t xml:space="preserve">proyecto </w:t>
      </w:r>
      <w:r w:rsidR="001C31EC" w:rsidRPr="00C60E01">
        <w:rPr>
          <w:rFonts w:ascii="Garamond" w:eastAsia="Times New Roman" w:hAnsi="Garamond" w:cs="Tahoma"/>
          <w:i/>
          <w:sz w:val="20"/>
          <w:szCs w:val="20"/>
          <w:lang w:eastAsia="en-US"/>
        </w:rPr>
        <w:t>“</w:t>
      </w:r>
      <w:r w:rsidR="00C60E01" w:rsidRPr="00C60E01">
        <w:rPr>
          <w:rFonts w:ascii="Garamond" w:eastAsia="Times New Roman" w:hAnsi="Garamond" w:cs="Tahoma"/>
          <w:i/>
          <w:sz w:val="20"/>
          <w:szCs w:val="20"/>
          <w:lang w:eastAsia="en-US"/>
        </w:rPr>
        <w:t>AMPLIACION CAPACIDAD PLANTA DE TRATAMIENTO DE AGUA SERVIDA</w:t>
      </w:r>
      <w:r w:rsidR="00217CA8">
        <w:rPr>
          <w:rFonts w:ascii="Garamond" w:eastAsia="Times New Roman" w:hAnsi="Garamond" w:cs="Tahoma"/>
          <w:i/>
          <w:sz w:val="20"/>
          <w:szCs w:val="20"/>
          <w:lang w:eastAsia="en-US"/>
        </w:rPr>
        <w:t>S</w:t>
      </w:r>
      <w:r w:rsidR="001C31EC" w:rsidRPr="00C60E01">
        <w:rPr>
          <w:rFonts w:ascii="Garamond" w:eastAsia="Times New Roman" w:hAnsi="Garamond" w:cs="Tahoma"/>
          <w:sz w:val="20"/>
          <w:szCs w:val="20"/>
          <w:lang w:eastAsia="en-US"/>
        </w:rPr>
        <w:t>”</w:t>
      </w:r>
      <w:r w:rsidR="00D120A6" w:rsidRPr="00C60E01">
        <w:rPr>
          <w:rFonts w:ascii="Garamond" w:eastAsia="Times New Roman" w:hAnsi="Garamond" w:cs="Tahoma"/>
          <w:sz w:val="20"/>
          <w:szCs w:val="20"/>
          <w:lang w:eastAsia="en-US"/>
        </w:rPr>
        <w:t xml:space="preserve">, </w:t>
      </w:r>
      <w:r w:rsidR="00E50242" w:rsidRPr="00C60E01">
        <w:rPr>
          <w:rFonts w:ascii="Garamond" w:eastAsia="Times New Roman" w:hAnsi="Garamond" w:cs="Tahoma"/>
          <w:sz w:val="20"/>
          <w:szCs w:val="20"/>
          <w:lang w:eastAsia="en-US"/>
        </w:rPr>
        <w:t xml:space="preserve">por las razones expuestas en la presente Resolución Exenta, </w:t>
      </w:r>
      <w:r w:rsidR="00BA3E50" w:rsidRPr="00C60E01">
        <w:rPr>
          <w:rFonts w:ascii="Garamond" w:eastAsia="Times New Roman" w:hAnsi="Garamond" w:cs="Tahoma"/>
          <w:sz w:val="20"/>
          <w:szCs w:val="20"/>
          <w:lang w:eastAsia="en-US"/>
        </w:rPr>
        <w:t xml:space="preserve">poniéndose término </w:t>
      </w:r>
      <w:r w:rsidR="00E50242" w:rsidRPr="00C60E01">
        <w:rPr>
          <w:rFonts w:ascii="Garamond" w:eastAsia="Times New Roman" w:hAnsi="Garamond" w:cs="Tahoma"/>
          <w:sz w:val="20"/>
          <w:szCs w:val="20"/>
          <w:lang w:eastAsia="en-US"/>
        </w:rPr>
        <w:t>a dicho procedimiento</w:t>
      </w:r>
      <w:r w:rsidR="00292127" w:rsidRPr="00C60E01">
        <w:rPr>
          <w:rFonts w:ascii="Garamond" w:eastAsia="Times New Roman" w:hAnsi="Garamond" w:cs="Tahoma"/>
          <w:sz w:val="20"/>
          <w:szCs w:val="20"/>
          <w:lang w:eastAsia="en-US"/>
        </w:rPr>
        <w:t>.</w:t>
      </w:r>
    </w:p>
    <w:p w:rsidR="007C7E55" w:rsidRPr="00C60E01" w:rsidRDefault="007C7E55" w:rsidP="007C7E55">
      <w:pPr>
        <w:pStyle w:val="Prrafodelista"/>
        <w:shd w:val="clear" w:color="auto" w:fill="FFFFFF"/>
        <w:ind w:left="567"/>
        <w:jc w:val="both"/>
        <w:rPr>
          <w:rFonts w:ascii="Garamond" w:eastAsia="Times New Roman" w:hAnsi="Garamond" w:cs="Tahoma"/>
          <w:color w:val="000000"/>
          <w:sz w:val="20"/>
          <w:szCs w:val="20"/>
        </w:rPr>
      </w:pPr>
    </w:p>
    <w:p w:rsidR="007C7E55" w:rsidRPr="00C60E01" w:rsidRDefault="00E50242" w:rsidP="00E50242">
      <w:pPr>
        <w:numPr>
          <w:ilvl w:val="0"/>
          <w:numId w:val="21"/>
        </w:numPr>
        <w:jc w:val="both"/>
        <w:rPr>
          <w:rFonts w:ascii="Garamond" w:eastAsia="Times New Roman" w:hAnsi="Garamond" w:cs="Tahoma"/>
          <w:sz w:val="20"/>
          <w:szCs w:val="20"/>
          <w:lang w:eastAsia="en-US"/>
        </w:rPr>
      </w:pPr>
      <w:r w:rsidRPr="00C60E01">
        <w:rPr>
          <w:rFonts w:ascii="Garamond" w:eastAsia="Times New Roman" w:hAnsi="Garamond" w:cs="Tahoma"/>
          <w:sz w:val="20"/>
          <w:szCs w:val="20"/>
          <w:lang w:eastAsia="en-US"/>
        </w:rPr>
        <w:t>Se hace presente que procede en contra de la presente res</w:t>
      </w:r>
      <w:bookmarkStart w:id="0" w:name="_GoBack"/>
      <w:bookmarkEnd w:id="0"/>
      <w:r w:rsidRPr="00C60E01">
        <w:rPr>
          <w:rFonts w:ascii="Garamond" w:eastAsia="Times New Roman" w:hAnsi="Garamond" w:cs="Tahoma"/>
          <w:sz w:val="20"/>
          <w:szCs w:val="20"/>
          <w:lang w:eastAsia="en-US"/>
        </w:rPr>
        <w:t>olución los recursos administrativos establecidos en la Ley N° 19.880, esto es, los recursos de reposición y jerárquico, ambos regulados en el artículo 59 de la misma Ley, sin perjuicio de las demás formas de revisión de los actos administrativos que procedan. El plazo para interponer dicho recurso es de 5 días contados de la notificación del presente acto, sin perjuicio de la interposición de otros recursos que se estimen procedentes. Se hace presente que conforme al artículo 22 de la Ley N° 19.880, “los interesados podrán actuar por medio de apoderados, entendiéndose que éstos tienen todas las facultades necesarias para la consecución del acto administrativo, salvo manifestación expresa en contrario.  El poder deberá constar en escritura pública o documento privado suscrito ante notario”. En caso de que el recurso sea interpuesto por el representante legal del titular del proyecto, se deberá acompañar fotocopia legalizada de la escritura pública donde conste tal calidad y el certificado de vigencia de los poderes, el que no podrá tener una antigüedad superior a seis meses a la fecha de su presentación.</w:t>
      </w:r>
    </w:p>
    <w:p w:rsidR="00292127" w:rsidRPr="00C60E01" w:rsidRDefault="00292127" w:rsidP="003A1CDD">
      <w:pPr>
        <w:ind w:left="360"/>
        <w:jc w:val="both"/>
        <w:rPr>
          <w:rFonts w:ascii="Garamond" w:eastAsia="Times New Roman" w:hAnsi="Garamond" w:cs="Tahoma"/>
          <w:sz w:val="20"/>
          <w:szCs w:val="20"/>
          <w:lang w:eastAsia="en-US"/>
        </w:rPr>
      </w:pPr>
    </w:p>
    <w:p w:rsidR="00292127" w:rsidRPr="00C60E01" w:rsidRDefault="00292127" w:rsidP="0066784A">
      <w:pPr>
        <w:jc w:val="center"/>
        <w:rPr>
          <w:rFonts w:ascii="Garamond" w:eastAsia="Times New Roman" w:hAnsi="Garamond" w:cs="Tahoma"/>
          <w:b/>
          <w:sz w:val="20"/>
          <w:szCs w:val="20"/>
          <w:lang w:val="es-ES" w:eastAsia="es-ES"/>
        </w:rPr>
      </w:pPr>
      <w:r w:rsidRPr="00C60E01">
        <w:rPr>
          <w:rFonts w:ascii="Garamond" w:eastAsia="Times New Roman" w:hAnsi="Garamond" w:cs="Tahoma"/>
          <w:b/>
          <w:sz w:val="20"/>
          <w:szCs w:val="20"/>
          <w:lang w:val="es-ES" w:eastAsia="es-ES"/>
        </w:rPr>
        <w:t>Anótese, notifíquese por carta certificada al Proponente y archívese.</w:t>
      </w:r>
    </w:p>
    <w:p w:rsidR="00BA3E50" w:rsidRPr="00C60E01" w:rsidRDefault="00BA3E50" w:rsidP="0066784A">
      <w:pPr>
        <w:rPr>
          <w:rFonts w:ascii="Garamond" w:eastAsia="Times New Roman" w:hAnsi="Garamond" w:cs="Tahoma"/>
          <w:sz w:val="20"/>
          <w:szCs w:val="20"/>
        </w:rPr>
      </w:pPr>
      <w:r w:rsidRPr="00C60E01">
        <w:rPr>
          <w:rFonts w:ascii="Garamond" w:eastAsia="Times New Roman" w:hAnsi="Garamond" w:cs="Tahoma"/>
          <w:color w:val="000000"/>
          <w:sz w:val="20"/>
          <w:szCs w:val="20"/>
        </w:rPr>
        <w:br/>
      </w:r>
    </w:p>
    <w:p w:rsidR="00EC4089" w:rsidRPr="00C60E01" w:rsidRDefault="00EC4089" w:rsidP="0066784A">
      <w:pPr>
        <w:rPr>
          <w:rFonts w:ascii="Garamond" w:eastAsia="Times New Roman" w:hAnsi="Garamond" w:cs="Tahoma"/>
          <w:sz w:val="20"/>
          <w:szCs w:val="20"/>
        </w:rPr>
      </w:pPr>
    </w:p>
    <w:p w:rsidR="003A1CDD" w:rsidRPr="00C60E01" w:rsidRDefault="00BA3E50" w:rsidP="003A1CDD">
      <w:pPr>
        <w:jc w:val="center"/>
        <w:rPr>
          <w:rFonts w:ascii="Garamond" w:eastAsia="Times New Roman" w:hAnsi="Garamond" w:cs="Tahoma"/>
          <w:b/>
          <w:sz w:val="20"/>
          <w:szCs w:val="20"/>
          <w:lang w:val="es-ES" w:eastAsia="en-US"/>
        </w:rPr>
      </w:pPr>
      <w:r w:rsidRPr="00C60E01">
        <w:rPr>
          <w:rFonts w:ascii="Garamond" w:eastAsia="Times New Roman" w:hAnsi="Garamond" w:cs="Tahoma"/>
          <w:color w:val="000000"/>
          <w:sz w:val="20"/>
          <w:szCs w:val="20"/>
        </w:rPr>
        <w:br/>
      </w:r>
      <w:r w:rsidR="00217CA8">
        <w:rPr>
          <w:rFonts w:ascii="Garamond" w:eastAsia="Times New Roman" w:hAnsi="Garamond" w:cs="Tahoma"/>
          <w:b/>
          <w:sz w:val="20"/>
          <w:szCs w:val="20"/>
          <w:lang w:val="es-ES" w:eastAsia="en-US"/>
        </w:rPr>
        <w:t>Patricio Carrasco Tapia</w:t>
      </w:r>
    </w:p>
    <w:p w:rsidR="003A1CDD" w:rsidRPr="00C60E01" w:rsidRDefault="003A1CDD" w:rsidP="003A1CDD">
      <w:pPr>
        <w:jc w:val="center"/>
        <w:rPr>
          <w:rFonts w:ascii="Garamond" w:eastAsia="Times New Roman" w:hAnsi="Garamond" w:cs="Tahoma"/>
          <w:b/>
          <w:sz w:val="20"/>
          <w:szCs w:val="20"/>
          <w:lang w:val="es-ES" w:eastAsia="en-US"/>
        </w:rPr>
      </w:pPr>
      <w:r w:rsidRPr="00C60E01">
        <w:rPr>
          <w:rFonts w:ascii="Garamond" w:eastAsia="Times New Roman" w:hAnsi="Garamond" w:cs="Tahoma"/>
          <w:b/>
          <w:sz w:val="20"/>
          <w:szCs w:val="20"/>
          <w:lang w:val="es-ES" w:eastAsia="en-US"/>
        </w:rPr>
        <w:t xml:space="preserve">Director Regional </w:t>
      </w:r>
      <w:r w:rsidR="00217CA8">
        <w:rPr>
          <w:rFonts w:ascii="Garamond" w:eastAsia="Times New Roman" w:hAnsi="Garamond" w:cs="Tahoma"/>
          <w:b/>
          <w:sz w:val="20"/>
          <w:szCs w:val="20"/>
          <w:lang w:val="es-ES" w:eastAsia="en-US"/>
        </w:rPr>
        <w:t xml:space="preserve">(s) </w:t>
      </w:r>
      <w:r w:rsidRPr="00C60E01">
        <w:rPr>
          <w:rFonts w:ascii="Garamond" w:eastAsia="Times New Roman" w:hAnsi="Garamond" w:cs="Tahoma"/>
          <w:b/>
          <w:sz w:val="20"/>
          <w:szCs w:val="20"/>
          <w:lang w:val="es-ES" w:eastAsia="en-US"/>
        </w:rPr>
        <w:t>Servicio Evaluación Ambiental</w:t>
      </w:r>
    </w:p>
    <w:p w:rsidR="003A1CDD" w:rsidRPr="00C60E01" w:rsidRDefault="003A1CDD" w:rsidP="003A1CDD">
      <w:pPr>
        <w:jc w:val="center"/>
        <w:rPr>
          <w:rFonts w:ascii="Garamond" w:eastAsia="Times New Roman" w:hAnsi="Garamond" w:cs="Tahoma"/>
          <w:sz w:val="20"/>
          <w:szCs w:val="20"/>
          <w:lang w:val="es-ES" w:eastAsia="en-US"/>
        </w:rPr>
      </w:pPr>
      <w:r w:rsidRPr="00C60E01">
        <w:rPr>
          <w:rFonts w:ascii="Garamond" w:eastAsia="Times New Roman" w:hAnsi="Garamond" w:cs="Tahoma"/>
          <w:b/>
          <w:sz w:val="20"/>
          <w:szCs w:val="20"/>
          <w:lang w:val="es-ES" w:eastAsia="en-US"/>
        </w:rPr>
        <w:t>Región del Maule.</w:t>
      </w:r>
    </w:p>
    <w:p w:rsidR="00292127" w:rsidRPr="00C60E01" w:rsidRDefault="00292127" w:rsidP="003A1CDD">
      <w:pPr>
        <w:keepNext/>
        <w:jc w:val="center"/>
        <w:outlineLvl w:val="3"/>
        <w:rPr>
          <w:rFonts w:ascii="Garamond" w:eastAsia="Times New Roman" w:hAnsi="Garamond" w:cs="Tahoma"/>
          <w:sz w:val="20"/>
          <w:szCs w:val="20"/>
          <w:lang w:val="es-ES" w:eastAsia="es-ES"/>
        </w:rPr>
      </w:pPr>
    </w:p>
    <w:p w:rsidR="003A1CDD" w:rsidRPr="00C60E01" w:rsidRDefault="003A1CDD" w:rsidP="003A1CDD">
      <w:pPr>
        <w:jc w:val="both"/>
        <w:outlineLvl w:val="0"/>
        <w:rPr>
          <w:rFonts w:ascii="Garamond" w:hAnsi="Garamond" w:cs="Tahoma"/>
          <w:b/>
          <w:sz w:val="20"/>
          <w:szCs w:val="20"/>
        </w:rPr>
      </w:pPr>
      <w:r w:rsidRPr="00C60E01">
        <w:rPr>
          <w:rFonts w:ascii="Garamond" w:hAnsi="Garamond" w:cs="Tahoma"/>
          <w:b/>
          <w:sz w:val="20"/>
          <w:szCs w:val="20"/>
        </w:rPr>
        <w:t>ONM /onm</w:t>
      </w:r>
    </w:p>
    <w:p w:rsidR="003A1CDD" w:rsidRPr="00C60E01" w:rsidRDefault="003A1CDD" w:rsidP="003A1CDD">
      <w:pPr>
        <w:jc w:val="both"/>
        <w:rPr>
          <w:rFonts w:ascii="Garamond" w:hAnsi="Garamond" w:cs="Tahoma"/>
          <w:b/>
          <w:sz w:val="20"/>
          <w:szCs w:val="20"/>
          <w:u w:val="single"/>
        </w:rPr>
      </w:pPr>
      <w:r w:rsidRPr="00C60E01">
        <w:rPr>
          <w:rFonts w:ascii="Garamond" w:hAnsi="Garamond" w:cs="Tahoma"/>
          <w:b/>
          <w:sz w:val="20"/>
          <w:szCs w:val="20"/>
          <w:u w:val="single"/>
        </w:rPr>
        <w:t>Distribución</w:t>
      </w:r>
    </w:p>
    <w:p w:rsidR="00BA3E50" w:rsidRPr="00C60E01" w:rsidRDefault="003A1CDD" w:rsidP="004672D4">
      <w:pPr>
        <w:numPr>
          <w:ilvl w:val="0"/>
          <w:numId w:val="14"/>
        </w:numPr>
        <w:shd w:val="clear" w:color="auto" w:fill="FFFFFF"/>
        <w:contextualSpacing/>
        <w:jc w:val="both"/>
        <w:rPr>
          <w:rFonts w:ascii="Garamond" w:eastAsia="Times New Roman" w:hAnsi="Garamond" w:cs="Tahoma"/>
          <w:sz w:val="20"/>
          <w:szCs w:val="20"/>
          <w:lang w:val="es-ES"/>
        </w:rPr>
      </w:pPr>
      <w:r w:rsidRPr="00C60E01">
        <w:rPr>
          <w:rFonts w:ascii="Garamond" w:eastAsia="Times New Roman" w:hAnsi="Garamond" w:cs="Tahoma"/>
          <w:sz w:val="20"/>
          <w:szCs w:val="20"/>
          <w:lang w:val="es-ES" w:eastAsia="es-ES"/>
        </w:rPr>
        <w:t xml:space="preserve"> </w:t>
      </w:r>
      <w:r w:rsidR="0042762C" w:rsidRPr="00C60E01">
        <w:rPr>
          <w:rFonts w:ascii="Garamond" w:eastAsia="Times New Roman" w:hAnsi="Garamond" w:cs="Tahoma"/>
          <w:sz w:val="20"/>
          <w:szCs w:val="20"/>
          <w:lang w:val="es-ES" w:eastAsia="es-ES"/>
        </w:rPr>
        <w:t xml:space="preserve">Sr. </w:t>
      </w:r>
      <w:r w:rsidR="00217CA8" w:rsidRPr="00217CA8">
        <w:rPr>
          <w:rFonts w:ascii="Garamond" w:eastAsia="Times New Roman" w:hAnsi="Garamond" w:cs="Tahoma"/>
          <w:sz w:val="20"/>
          <w:szCs w:val="20"/>
          <w:lang w:val="es-ES" w:eastAsia="es-ES"/>
        </w:rPr>
        <w:t>Eduardo Aquiles Verdugo Gómez</w:t>
      </w:r>
      <w:r w:rsidRPr="00C60E01">
        <w:rPr>
          <w:rFonts w:ascii="Garamond" w:eastAsia="Times New Roman" w:hAnsi="Garamond" w:cs="Tahoma"/>
          <w:sz w:val="20"/>
          <w:szCs w:val="20"/>
          <w:lang w:val="es-ES" w:eastAsia="es-ES"/>
        </w:rPr>
        <w:t xml:space="preserve">. </w:t>
      </w:r>
      <w:r w:rsidR="004672D4" w:rsidRPr="004672D4">
        <w:rPr>
          <w:rFonts w:ascii="Garamond" w:eastAsia="Times New Roman" w:hAnsi="Garamond" w:cs="Tahoma"/>
          <w:sz w:val="20"/>
          <w:szCs w:val="20"/>
          <w:lang w:val="es-ES" w:eastAsia="es-ES"/>
        </w:rPr>
        <w:t xml:space="preserve">36 </w:t>
      </w:r>
      <w:r w:rsidR="004672D4">
        <w:rPr>
          <w:rFonts w:ascii="Garamond" w:eastAsia="Times New Roman" w:hAnsi="Garamond" w:cs="Tahoma"/>
          <w:sz w:val="20"/>
          <w:szCs w:val="20"/>
          <w:lang w:val="es-ES" w:eastAsia="es-ES"/>
        </w:rPr>
        <w:t>Oriente 1961, Talca.</w:t>
      </w:r>
    </w:p>
    <w:p w:rsidR="00BA3E50" w:rsidRPr="00C60E01" w:rsidRDefault="008F3CAD" w:rsidP="0066784A">
      <w:pPr>
        <w:shd w:val="clear" w:color="auto" w:fill="FFFFFF"/>
        <w:rPr>
          <w:rFonts w:ascii="Garamond" w:eastAsia="Times New Roman" w:hAnsi="Garamond" w:cs="Tahoma"/>
          <w:sz w:val="20"/>
          <w:szCs w:val="20"/>
          <w:u w:val="single"/>
        </w:rPr>
      </w:pPr>
      <w:r w:rsidRPr="00C60E01">
        <w:rPr>
          <w:rFonts w:ascii="Garamond" w:eastAsia="Times New Roman" w:hAnsi="Garamond" w:cs="Tahoma"/>
          <w:sz w:val="20"/>
          <w:szCs w:val="20"/>
          <w:u w:val="single"/>
        </w:rPr>
        <w:t>C.</w:t>
      </w:r>
      <w:r w:rsidR="00BA3E50" w:rsidRPr="00C60E01">
        <w:rPr>
          <w:rFonts w:ascii="Garamond" w:eastAsia="Times New Roman" w:hAnsi="Garamond" w:cs="Tahoma"/>
          <w:sz w:val="20"/>
          <w:szCs w:val="20"/>
          <w:u w:val="single"/>
        </w:rPr>
        <w:t>c</w:t>
      </w:r>
      <w:r w:rsidRPr="00C60E01">
        <w:rPr>
          <w:rFonts w:ascii="Garamond" w:eastAsia="Times New Roman" w:hAnsi="Garamond" w:cs="Tahoma"/>
          <w:sz w:val="20"/>
          <w:szCs w:val="20"/>
          <w:u w:val="single"/>
        </w:rPr>
        <w:t>.</w:t>
      </w:r>
      <w:r w:rsidR="00BA3E50" w:rsidRPr="00C60E01">
        <w:rPr>
          <w:rFonts w:ascii="Garamond" w:eastAsia="Times New Roman" w:hAnsi="Garamond" w:cs="Tahoma"/>
          <w:sz w:val="20"/>
          <w:szCs w:val="20"/>
          <w:u w:val="single"/>
        </w:rPr>
        <w:t>:</w:t>
      </w:r>
    </w:p>
    <w:p w:rsidR="00BA3E50" w:rsidRPr="00C60E01" w:rsidRDefault="00C013FE" w:rsidP="00031090">
      <w:pPr>
        <w:numPr>
          <w:ilvl w:val="0"/>
          <w:numId w:val="14"/>
        </w:numPr>
        <w:shd w:val="clear" w:color="auto" w:fill="FFFFFF"/>
        <w:contextualSpacing/>
        <w:jc w:val="both"/>
        <w:rPr>
          <w:rFonts w:ascii="Garamond" w:eastAsia="Times New Roman" w:hAnsi="Garamond" w:cs="Tahoma"/>
          <w:sz w:val="20"/>
          <w:szCs w:val="20"/>
          <w:lang w:val="es-ES" w:eastAsia="es-ES"/>
        </w:rPr>
      </w:pPr>
      <w:r w:rsidRPr="00C60E01">
        <w:rPr>
          <w:rFonts w:ascii="Garamond" w:eastAsia="Times New Roman" w:hAnsi="Garamond" w:cs="Tahoma"/>
          <w:sz w:val="20"/>
          <w:szCs w:val="20"/>
          <w:lang w:val="es-ES" w:eastAsia="es-ES"/>
        </w:rPr>
        <w:t>Superintendencia del Medio Ambiente</w:t>
      </w:r>
      <w:r w:rsidR="0066784A" w:rsidRPr="00C60E01">
        <w:rPr>
          <w:rFonts w:ascii="Garamond" w:eastAsia="Times New Roman" w:hAnsi="Garamond" w:cs="Tahoma"/>
          <w:sz w:val="20"/>
          <w:szCs w:val="20"/>
          <w:lang w:val="es-ES" w:eastAsia="es-ES"/>
        </w:rPr>
        <w:t>, SMA.</w:t>
      </w:r>
    </w:p>
    <w:p w:rsidR="00B032A5" w:rsidRPr="00C60E01" w:rsidRDefault="00C013FE" w:rsidP="005526A9">
      <w:pPr>
        <w:numPr>
          <w:ilvl w:val="0"/>
          <w:numId w:val="14"/>
        </w:numPr>
        <w:shd w:val="clear" w:color="auto" w:fill="FFFFFF"/>
        <w:contextualSpacing/>
        <w:jc w:val="both"/>
        <w:rPr>
          <w:rFonts w:ascii="Garamond" w:eastAsia="Times New Roman" w:hAnsi="Garamond" w:cs="Tahoma"/>
          <w:sz w:val="20"/>
          <w:szCs w:val="20"/>
          <w:lang w:val="es-ES" w:eastAsia="es-ES"/>
        </w:rPr>
      </w:pPr>
      <w:r w:rsidRPr="00C60E01">
        <w:rPr>
          <w:rFonts w:ascii="Garamond" w:eastAsia="Times New Roman" w:hAnsi="Garamond" w:cs="Tahoma"/>
          <w:sz w:val="20"/>
          <w:szCs w:val="20"/>
          <w:lang w:val="es-ES" w:eastAsia="es-ES"/>
        </w:rPr>
        <w:t xml:space="preserve">Expediente del </w:t>
      </w:r>
      <w:r w:rsidR="0066784A" w:rsidRPr="00C60E01">
        <w:rPr>
          <w:rFonts w:ascii="Garamond" w:eastAsia="Times New Roman" w:hAnsi="Garamond" w:cs="Tahoma"/>
          <w:sz w:val="20"/>
          <w:szCs w:val="20"/>
          <w:lang w:val="es-ES" w:eastAsia="es-ES"/>
        </w:rPr>
        <w:t>P</w:t>
      </w:r>
      <w:r w:rsidRPr="00C60E01">
        <w:rPr>
          <w:rFonts w:ascii="Garamond" w:eastAsia="Times New Roman" w:hAnsi="Garamond" w:cs="Tahoma"/>
          <w:sz w:val="20"/>
          <w:szCs w:val="20"/>
          <w:lang w:val="es-ES" w:eastAsia="es-ES"/>
        </w:rPr>
        <w:t>royecto</w:t>
      </w:r>
      <w:r w:rsidR="002D3D3A" w:rsidRPr="00C60E01">
        <w:rPr>
          <w:rFonts w:ascii="Garamond" w:eastAsia="Times New Roman" w:hAnsi="Garamond" w:cs="Tahoma"/>
          <w:sz w:val="20"/>
          <w:szCs w:val="20"/>
          <w:lang w:val="es-ES" w:eastAsia="es-ES"/>
        </w:rPr>
        <w:t xml:space="preserve"> </w:t>
      </w:r>
      <w:r w:rsidR="003A1CDD" w:rsidRPr="00C60E01">
        <w:rPr>
          <w:rFonts w:ascii="Garamond" w:eastAsia="Times New Roman" w:hAnsi="Garamond" w:cs="Tahoma"/>
          <w:i/>
          <w:sz w:val="20"/>
          <w:szCs w:val="20"/>
          <w:lang w:val="es-ES" w:eastAsia="es-ES"/>
        </w:rPr>
        <w:t>“</w:t>
      </w:r>
      <w:r w:rsidR="00C60E01" w:rsidRPr="00C60E01">
        <w:rPr>
          <w:rFonts w:ascii="Garamond" w:eastAsia="Times New Roman" w:hAnsi="Garamond" w:cs="Tahoma"/>
          <w:i/>
          <w:sz w:val="20"/>
          <w:szCs w:val="20"/>
          <w:lang w:val="es-ES" w:eastAsia="es-ES"/>
        </w:rPr>
        <w:t>AMPLIACION CAPACIDAD PLANTA DE TRATAMIENTO DE AGUA SERVIDA</w:t>
      </w:r>
      <w:r w:rsidR="00217CA8">
        <w:rPr>
          <w:rFonts w:ascii="Garamond" w:eastAsia="Times New Roman" w:hAnsi="Garamond" w:cs="Tahoma"/>
          <w:i/>
          <w:sz w:val="20"/>
          <w:szCs w:val="20"/>
          <w:lang w:val="es-ES" w:eastAsia="es-ES"/>
        </w:rPr>
        <w:t>S</w:t>
      </w:r>
      <w:r w:rsidR="003A1CDD" w:rsidRPr="00C60E01">
        <w:rPr>
          <w:rFonts w:ascii="Garamond" w:eastAsia="Times New Roman" w:hAnsi="Garamond" w:cs="Tahoma"/>
          <w:i/>
          <w:sz w:val="20"/>
          <w:szCs w:val="20"/>
          <w:lang w:val="es-ES" w:eastAsia="es-ES"/>
        </w:rPr>
        <w:t>”</w:t>
      </w:r>
    </w:p>
    <w:p w:rsidR="008F3CAD" w:rsidRPr="00C60E01" w:rsidRDefault="008F3CAD" w:rsidP="00031090">
      <w:pPr>
        <w:numPr>
          <w:ilvl w:val="0"/>
          <w:numId w:val="14"/>
        </w:numPr>
        <w:shd w:val="clear" w:color="auto" w:fill="FFFFFF"/>
        <w:contextualSpacing/>
        <w:jc w:val="both"/>
        <w:rPr>
          <w:rFonts w:ascii="Garamond" w:eastAsia="Times New Roman" w:hAnsi="Garamond" w:cs="Tahoma"/>
          <w:sz w:val="20"/>
          <w:szCs w:val="20"/>
          <w:lang w:val="es-ES" w:eastAsia="es-ES"/>
        </w:rPr>
      </w:pPr>
      <w:r w:rsidRPr="00C60E01">
        <w:rPr>
          <w:rFonts w:ascii="Garamond" w:eastAsia="Times New Roman" w:hAnsi="Garamond" w:cs="Tahoma"/>
          <w:sz w:val="20"/>
          <w:szCs w:val="20"/>
          <w:lang w:val="es-ES" w:eastAsia="es-ES"/>
        </w:rPr>
        <w:t>Oficina de Partes</w:t>
      </w:r>
      <w:r w:rsidR="0066784A" w:rsidRPr="00C60E01">
        <w:rPr>
          <w:rFonts w:ascii="Garamond" w:eastAsia="Times New Roman" w:hAnsi="Garamond" w:cs="Tahoma"/>
          <w:sz w:val="20"/>
          <w:szCs w:val="20"/>
          <w:lang w:val="es-ES" w:eastAsia="es-ES"/>
        </w:rPr>
        <w:t xml:space="preserve"> SEA.</w:t>
      </w:r>
    </w:p>
    <w:p w:rsidR="00FF4C0C" w:rsidRPr="00C60E01" w:rsidRDefault="00FF4C0C" w:rsidP="0066784A">
      <w:pPr>
        <w:rPr>
          <w:rFonts w:ascii="Garamond" w:hAnsi="Garamond" w:cs="Tahoma"/>
          <w:sz w:val="20"/>
          <w:szCs w:val="20"/>
        </w:rPr>
      </w:pPr>
    </w:p>
    <w:p w:rsidR="003273A6" w:rsidRPr="00CF776A" w:rsidRDefault="003273A6" w:rsidP="00967B37">
      <w:pPr>
        <w:rPr>
          <w:rFonts w:ascii="Garamond" w:hAnsi="Garamond" w:cs="Tahoma"/>
          <w:sz w:val="20"/>
          <w:szCs w:val="20"/>
        </w:rPr>
      </w:pPr>
    </w:p>
    <w:sectPr w:rsidR="003273A6" w:rsidRPr="00CF776A" w:rsidSect="0042762C">
      <w:footerReference w:type="default" r:id="rId9"/>
      <w:pgSz w:w="12247" w:h="18711" w:code="302"/>
      <w:pgMar w:top="1417" w:right="1701" w:bottom="1985" w:left="1701" w:header="708" w:footer="7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08F" w:rsidRDefault="0089208F" w:rsidP="0066784A">
      <w:r>
        <w:separator/>
      </w:r>
    </w:p>
  </w:endnote>
  <w:endnote w:type="continuationSeparator" w:id="0">
    <w:p w:rsidR="0089208F" w:rsidRDefault="0089208F" w:rsidP="006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A6" w:rsidRDefault="003273A6">
    <w:pPr>
      <w:pStyle w:val="Piedepgina"/>
      <w:pBdr>
        <w:top w:val="thinThickSmallGap" w:sz="24" w:space="1" w:color="622423" w:themeColor="accent2" w:themeShade="7F"/>
      </w:pBdr>
      <w:rPr>
        <w:rFonts w:asciiTheme="majorHAnsi" w:eastAsiaTheme="majorEastAsia" w:hAnsiTheme="majorHAnsi" w:cstheme="majorBidi"/>
      </w:rPr>
    </w:pPr>
    <w:r w:rsidRPr="009A63F9">
      <w:rPr>
        <w:rFonts w:asciiTheme="majorHAnsi" w:eastAsiaTheme="majorEastAsia" w:hAnsiTheme="majorHAnsi" w:cstheme="majorBidi"/>
      </w:rPr>
      <w:t>R</w:t>
    </w:r>
    <w:r>
      <w:rPr>
        <w:rFonts w:asciiTheme="majorHAnsi" w:eastAsiaTheme="majorEastAsia" w:hAnsiTheme="majorHAnsi" w:cstheme="majorBidi"/>
      </w:rPr>
      <w:t xml:space="preserve">esolución </w:t>
    </w:r>
    <w:r w:rsidRPr="009A63F9">
      <w:rPr>
        <w:rFonts w:asciiTheme="majorHAnsi" w:eastAsiaTheme="majorEastAsia" w:hAnsiTheme="majorHAnsi" w:cstheme="majorBidi"/>
      </w:rPr>
      <w:t>Ex</w:t>
    </w:r>
    <w:r>
      <w:rPr>
        <w:rFonts w:asciiTheme="majorHAnsi" w:eastAsiaTheme="majorEastAsia" w:hAnsiTheme="majorHAnsi" w:cstheme="majorBidi"/>
      </w:rPr>
      <w:t>enta N°</w:t>
    </w:r>
    <w:r w:rsidR="00A20475">
      <w:rPr>
        <w:rFonts w:asciiTheme="majorHAnsi" w:eastAsiaTheme="majorEastAsia" w:hAnsiTheme="majorHAnsi" w:cstheme="majorBidi"/>
      </w:rPr>
      <w:t>10</w:t>
    </w:r>
    <w:r w:rsidRPr="009A63F9">
      <w:rPr>
        <w:rFonts w:asciiTheme="majorHAnsi" w:eastAsiaTheme="majorEastAsia" w:hAnsiTheme="majorHAnsi" w:cstheme="majorBidi"/>
      </w:rPr>
      <w:t>/201</w:t>
    </w:r>
    <w:r w:rsidR="00217CA8">
      <w:rPr>
        <w:rFonts w:asciiTheme="majorHAnsi" w:eastAsiaTheme="majorEastAsia" w:hAnsiTheme="majorHAnsi" w:cstheme="majorBidi"/>
      </w:rPr>
      <w:t>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4672D4" w:rsidRPr="004672D4">
      <w:rPr>
        <w:rFonts w:asciiTheme="majorHAnsi" w:eastAsiaTheme="majorEastAsia" w:hAnsiTheme="majorHAnsi" w:cstheme="majorBidi"/>
        <w:noProof/>
        <w:lang w:val="es-ES"/>
      </w:rPr>
      <w:t>2</w:t>
    </w:r>
    <w:r>
      <w:rPr>
        <w:rFonts w:asciiTheme="majorHAnsi" w:eastAsiaTheme="majorEastAsia" w:hAnsiTheme="majorHAnsi" w:cstheme="majorBidi"/>
      </w:rPr>
      <w:fldChar w:fldCharType="end"/>
    </w:r>
  </w:p>
  <w:p w:rsidR="0066784A" w:rsidRDefault="006678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08F" w:rsidRDefault="0089208F" w:rsidP="0066784A">
      <w:r>
        <w:separator/>
      </w:r>
    </w:p>
  </w:footnote>
  <w:footnote w:type="continuationSeparator" w:id="0">
    <w:p w:rsidR="0089208F" w:rsidRDefault="0089208F" w:rsidP="0066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1687"/>
    <w:multiLevelType w:val="hybridMultilevel"/>
    <w:tmpl w:val="E1B43CF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EF3372B"/>
    <w:multiLevelType w:val="hybridMultilevel"/>
    <w:tmpl w:val="73DA03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382FB7"/>
    <w:multiLevelType w:val="hybridMultilevel"/>
    <w:tmpl w:val="72EA1FB2"/>
    <w:lvl w:ilvl="0" w:tplc="5E08AD2E">
      <w:start w:val="1"/>
      <w:numFmt w:val="lowerLetter"/>
      <w:lvlText w:val="%1)"/>
      <w:lvlJc w:val="left"/>
      <w:pPr>
        <w:tabs>
          <w:tab w:val="num" w:pos="1211"/>
        </w:tabs>
        <w:ind w:left="1211" w:hanging="360"/>
      </w:pPr>
      <w:rPr>
        <w:rFonts w:hint="default"/>
      </w:rPr>
    </w:lvl>
    <w:lvl w:ilvl="1" w:tplc="9B6E5308">
      <w:start w:val="1"/>
      <w:numFmt w:val="decimal"/>
      <w:lvlText w:val="%2."/>
      <w:lvlJc w:val="left"/>
      <w:pPr>
        <w:tabs>
          <w:tab w:val="num" w:pos="1931"/>
        </w:tabs>
        <w:ind w:left="1931" w:hanging="360"/>
      </w:pPr>
      <w:rPr>
        <w:rFonts w:hint="default"/>
      </w:r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15:restartNumberingAfterBreak="0">
    <w:nsid w:val="17C47E2E"/>
    <w:multiLevelType w:val="multilevel"/>
    <w:tmpl w:val="73C27122"/>
    <w:lvl w:ilvl="0">
      <w:start w:val="1"/>
      <w:numFmt w:val="decimal"/>
      <w:lvlText w:val="%1.-"/>
      <w:lvlJc w:val="left"/>
      <w:pPr>
        <w:tabs>
          <w:tab w:val="num" w:pos="705"/>
        </w:tabs>
        <w:ind w:left="705" w:hanging="705"/>
      </w:pPr>
      <w:rPr>
        <w:rFonts w:ascii="Calibri" w:hAnsi="Calibri" w:cs="Times New Roman" w:hint="default"/>
        <w:b w:val="0"/>
        <w:i w:val="0"/>
        <w:sz w:val="22"/>
        <w:szCs w:val="22"/>
        <w:lang w:val="es-CL"/>
      </w:rPr>
    </w:lvl>
    <w:lvl w:ilvl="1">
      <w:start w:val="1"/>
      <w:numFmt w:val="decimal"/>
      <w:isLgl/>
      <w:lvlText w:val="%1.%2"/>
      <w:lvlJc w:val="left"/>
      <w:pPr>
        <w:ind w:left="1080" w:hanging="375"/>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080" w:hanging="1440"/>
      </w:pPr>
      <w:rPr>
        <w:rFonts w:hint="default"/>
      </w:rPr>
    </w:lvl>
  </w:abstractNum>
  <w:abstractNum w:abstractNumId="4" w15:restartNumberingAfterBreak="0">
    <w:nsid w:val="17ED14F5"/>
    <w:multiLevelType w:val="hybridMultilevel"/>
    <w:tmpl w:val="8C3C3ED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8A64B91"/>
    <w:multiLevelType w:val="singleLevel"/>
    <w:tmpl w:val="4722495A"/>
    <w:lvl w:ilvl="0">
      <w:start w:val="1"/>
      <w:numFmt w:val="decimal"/>
      <w:lvlText w:val="%1."/>
      <w:lvlJc w:val="left"/>
      <w:pPr>
        <w:tabs>
          <w:tab w:val="num" w:pos="360"/>
        </w:tabs>
        <w:ind w:left="360" w:hanging="360"/>
      </w:pPr>
      <w:rPr>
        <w:b w:val="0"/>
        <w:i w:val="0"/>
      </w:rPr>
    </w:lvl>
  </w:abstractNum>
  <w:abstractNum w:abstractNumId="6" w15:restartNumberingAfterBreak="0">
    <w:nsid w:val="1B734B68"/>
    <w:multiLevelType w:val="hybridMultilevel"/>
    <w:tmpl w:val="B2D4158C"/>
    <w:lvl w:ilvl="0" w:tplc="0C0A000F">
      <w:start w:val="1"/>
      <w:numFmt w:val="decimal"/>
      <w:lvlText w:val="%1."/>
      <w:lvlJc w:val="left"/>
      <w:pPr>
        <w:tabs>
          <w:tab w:val="num" w:pos="720"/>
        </w:tabs>
        <w:ind w:left="720" w:hanging="360"/>
      </w:pPr>
    </w:lvl>
    <w:lvl w:ilvl="1" w:tplc="DC0EACD4">
      <w:numFmt w:val="bullet"/>
      <w:lvlText w:val="-"/>
      <w:lvlJc w:val="left"/>
      <w:pPr>
        <w:tabs>
          <w:tab w:val="num" w:pos="1440"/>
        </w:tabs>
        <w:ind w:left="1440" w:hanging="360"/>
      </w:pPr>
      <w:rPr>
        <w:rFonts w:ascii="Arial" w:eastAsia="Times New Roman" w:hAnsi="Arial" w:cs="Arial" w:hint="default"/>
      </w:rPr>
    </w:lvl>
    <w:lvl w:ilvl="2" w:tplc="3156FEB6">
      <w:start w:val="1"/>
      <w:numFmt w:val="bullet"/>
      <w:lvlText w:val="-"/>
      <w:lvlJc w:val="left"/>
      <w:pPr>
        <w:tabs>
          <w:tab w:val="num" w:pos="2340"/>
        </w:tabs>
        <w:ind w:left="2340" w:hanging="360"/>
      </w:pPr>
      <w:rPr>
        <w:rFonts w:ascii="Shruti" w:hAnsi="Shruti"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1C36C8F"/>
    <w:multiLevelType w:val="multilevel"/>
    <w:tmpl w:val="014C2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F3EED"/>
    <w:multiLevelType w:val="multilevel"/>
    <w:tmpl w:val="E08C0EE8"/>
    <w:lvl w:ilvl="0">
      <w:start w:val="1"/>
      <w:numFmt w:val="decimal"/>
      <w:lvlText w:val="%1."/>
      <w:lvlJc w:val="left"/>
      <w:pPr>
        <w:tabs>
          <w:tab w:val="num" w:pos="705"/>
        </w:tabs>
        <w:ind w:left="705" w:hanging="705"/>
      </w:pPr>
    </w:lvl>
    <w:lvl w:ilvl="1">
      <w:start w:val="1"/>
      <w:numFmt w:val="decimal"/>
      <w:lvlText w:val="%2%1.11"/>
      <w:lvlJc w:val="left"/>
      <w:pPr>
        <w:tabs>
          <w:tab w:val="num" w:pos="1004"/>
        </w:tabs>
        <w:ind w:left="1004" w:hanging="720"/>
      </w:pPr>
      <w:rPr>
        <w:rFonts w:ascii="Arial" w:hAnsi="Arial" w:cs="Times New Roman" w:hint="default"/>
        <w:b w:val="0"/>
        <w:i w:val="0"/>
        <w:sz w:val="22"/>
        <w:szCs w:val="22"/>
      </w:rPr>
    </w:lvl>
    <w:lvl w:ilvl="2">
      <w:start w:val="1"/>
      <w:numFmt w:val="decimal"/>
      <w:lvlText w:val="%1.%2.%3."/>
      <w:lvlJc w:val="left"/>
      <w:pPr>
        <w:tabs>
          <w:tab w:val="num" w:pos="720"/>
        </w:tabs>
        <w:ind w:left="720" w:hanging="720"/>
      </w:pPr>
      <w:rPr>
        <w:lang w:val="es-ES_tradnl"/>
      </w:rPr>
    </w:lvl>
    <w:lvl w:ilvl="3">
      <w:start w:val="1"/>
      <w:numFmt w:val="decimal"/>
      <w:lvlText w:val="%1.%2.%3"/>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19E39FB"/>
    <w:multiLevelType w:val="multilevel"/>
    <w:tmpl w:val="014C2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45389"/>
    <w:multiLevelType w:val="hybridMultilevel"/>
    <w:tmpl w:val="D5B87E0A"/>
    <w:lvl w:ilvl="0" w:tplc="E0C693E8">
      <w:start w:val="2"/>
      <w:numFmt w:val="bullet"/>
      <w:lvlText w:val=""/>
      <w:lvlJc w:val="left"/>
      <w:pPr>
        <w:ind w:left="720" w:hanging="360"/>
      </w:pPr>
      <w:rPr>
        <w:rFonts w:ascii="Symbol" w:eastAsia="Times New Roman" w:hAnsi="Symbol" w:cs="Times New Roman" w:hint="default"/>
        <w:i w:val="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A452B44"/>
    <w:multiLevelType w:val="multilevel"/>
    <w:tmpl w:val="F488A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E7D5FF5"/>
    <w:multiLevelType w:val="hybridMultilevel"/>
    <w:tmpl w:val="712638A6"/>
    <w:lvl w:ilvl="0" w:tplc="0C0A000F">
      <w:start w:val="1"/>
      <w:numFmt w:val="decimal"/>
      <w:lvlText w:val="%1."/>
      <w:lvlJc w:val="left"/>
      <w:pPr>
        <w:tabs>
          <w:tab w:val="num" w:pos="1080"/>
        </w:tabs>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3" w15:restartNumberingAfterBreak="0">
    <w:nsid w:val="4EA134CF"/>
    <w:multiLevelType w:val="multilevel"/>
    <w:tmpl w:val="4DB6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74759"/>
    <w:multiLevelType w:val="multilevel"/>
    <w:tmpl w:val="014C2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044E7"/>
    <w:multiLevelType w:val="hybridMultilevel"/>
    <w:tmpl w:val="33269B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E913C59"/>
    <w:multiLevelType w:val="hybridMultilevel"/>
    <w:tmpl w:val="B17C8A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F8D5E4A"/>
    <w:multiLevelType w:val="hybridMultilevel"/>
    <w:tmpl w:val="21BEC11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4252741"/>
    <w:multiLevelType w:val="hybridMultilevel"/>
    <w:tmpl w:val="C298BA7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7727521D"/>
    <w:multiLevelType w:val="hybridMultilevel"/>
    <w:tmpl w:val="BFF0CE3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792254DB"/>
    <w:multiLevelType w:val="hybridMultilevel"/>
    <w:tmpl w:val="56A8D1A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7C0529DB"/>
    <w:multiLevelType w:val="hybridMultilevel"/>
    <w:tmpl w:val="FAB49540"/>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7"/>
  </w:num>
  <w:num w:numId="2">
    <w:abstractNumId w:val="13"/>
  </w:num>
  <w:num w:numId="3">
    <w:abstractNumId w:val="11"/>
  </w:num>
  <w:num w:numId="4">
    <w:abstractNumId w:val="6"/>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15"/>
  </w:num>
  <w:num w:numId="13">
    <w:abstractNumId w:val="1"/>
  </w:num>
  <w:num w:numId="14">
    <w:abstractNumId w:val="16"/>
  </w:num>
  <w:num w:numId="15">
    <w:abstractNumId w:val="19"/>
  </w:num>
  <w:num w:numId="16">
    <w:abstractNumId w:val="14"/>
  </w:num>
  <w:num w:numId="17">
    <w:abstractNumId w:val="2"/>
  </w:num>
  <w:num w:numId="18">
    <w:abstractNumId w:val="8"/>
  </w:num>
  <w:num w:numId="19">
    <w:abstractNumId w:val="4"/>
  </w:num>
  <w:num w:numId="20">
    <w:abstractNumId w:val="18"/>
  </w:num>
  <w:num w:numId="21">
    <w:abstractNumId w:val="20"/>
  </w:num>
  <w:num w:numId="22">
    <w:abstractNumId w:val="3"/>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66"/>
    <w:rsid w:val="00031090"/>
    <w:rsid w:val="00046B79"/>
    <w:rsid w:val="00050A05"/>
    <w:rsid w:val="000A429B"/>
    <w:rsid w:val="000A4496"/>
    <w:rsid w:val="000A6C93"/>
    <w:rsid w:val="00133E5B"/>
    <w:rsid w:val="0014033B"/>
    <w:rsid w:val="001C31EC"/>
    <w:rsid w:val="001E23F3"/>
    <w:rsid w:val="00217CA8"/>
    <w:rsid w:val="00231366"/>
    <w:rsid w:val="002464AE"/>
    <w:rsid w:val="00292127"/>
    <w:rsid w:val="002D3D3A"/>
    <w:rsid w:val="0031292E"/>
    <w:rsid w:val="00312D50"/>
    <w:rsid w:val="003273A6"/>
    <w:rsid w:val="00331974"/>
    <w:rsid w:val="00340EDF"/>
    <w:rsid w:val="003472E8"/>
    <w:rsid w:val="003500AE"/>
    <w:rsid w:val="0036074F"/>
    <w:rsid w:val="00382DE3"/>
    <w:rsid w:val="003A1CDD"/>
    <w:rsid w:val="00407C7D"/>
    <w:rsid w:val="0042762C"/>
    <w:rsid w:val="004672D4"/>
    <w:rsid w:val="004969C5"/>
    <w:rsid w:val="004A44D9"/>
    <w:rsid w:val="005121FB"/>
    <w:rsid w:val="00514EB2"/>
    <w:rsid w:val="00522EAC"/>
    <w:rsid w:val="005526A9"/>
    <w:rsid w:val="005C42AF"/>
    <w:rsid w:val="005E69BA"/>
    <w:rsid w:val="006213C7"/>
    <w:rsid w:val="0065069B"/>
    <w:rsid w:val="0066784A"/>
    <w:rsid w:val="006B6A95"/>
    <w:rsid w:val="006C01A6"/>
    <w:rsid w:val="00755AE5"/>
    <w:rsid w:val="007570B0"/>
    <w:rsid w:val="00794126"/>
    <w:rsid w:val="007C7E55"/>
    <w:rsid w:val="007D0D60"/>
    <w:rsid w:val="00833ADC"/>
    <w:rsid w:val="0089208F"/>
    <w:rsid w:val="0089555D"/>
    <w:rsid w:val="00896127"/>
    <w:rsid w:val="008E49E7"/>
    <w:rsid w:val="008F3CAD"/>
    <w:rsid w:val="009168EA"/>
    <w:rsid w:val="0093004C"/>
    <w:rsid w:val="00931ED8"/>
    <w:rsid w:val="009459C5"/>
    <w:rsid w:val="0095695B"/>
    <w:rsid w:val="00963779"/>
    <w:rsid w:val="00967B37"/>
    <w:rsid w:val="00A116BF"/>
    <w:rsid w:val="00A20475"/>
    <w:rsid w:val="00A23D5A"/>
    <w:rsid w:val="00A56454"/>
    <w:rsid w:val="00A8681D"/>
    <w:rsid w:val="00AD21B9"/>
    <w:rsid w:val="00B032A5"/>
    <w:rsid w:val="00B0664B"/>
    <w:rsid w:val="00B53302"/>
    <w:rsid w:val="00BA0DA0"/>
    <w:rsid w:val="00BA3E50"/>
    <w:rsid w:val="00BA43F2"/>
    <w:rsid w:val="00BB648B"/>
    <w:rsid w:val="00C013FE"/>
    <w:rsid w:val="00C079D2"/>
    <w:rsid w:val="00C574AE"/>
    <w:rsid w:val="00C60E01"/>
    <w:rsid w:val="00C67846"/>
    <w:rsid w:val="00C946D0"/>
    <w:rsid w:val="00CA3FA5"/>
    <w:rsid w:val="00CC63DB"/>
    <w:rsid w:val="00CF2F24"/>
    <w:rsid w:val="00CF776A"/>
    <w:rsid w:val="00D120A6"/>
    <w:rsid w:val="00D96AEE"/>
    <w:rsid w:val="00DA4243"/>
    <w:rsid w:val="00DA57EC"/>
    <w:rsid w:val="00E047B2"/>
    <w:rsid w:val="00E50242"/>
    <w:rsid w:val="00EC4089"/>
    <w:rsid w:val="00ED48DE"/>
    <w:rsid w:val="00EE249A"/>
    <w:rsid w:val="00F26741"/>
    <w:rsid w:val="00F84FDA"/>
    <w:rsid w:val="00FD100E"/>
    <w:rsid w:val="00FD1563"/>
    <w:rsid w:val="00FF0709"/>
    <w:rsid w:val="00FF4C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1AE89"/>
  <w15:docId w15:val="{50CE3EED-CCAB-4D05-938F-D5E50AAD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127"/>
    <w:pPr>
      <w:spacing w:after="0" w:line="240" w:lineRule="auto"/>
    </w:pPr>
    <w:rPr>
      <w:rFonts w:ascii="Times New Roman" w:eastAsia="Calibri"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1366"/>
    <w:rPr>
      <w:color w:val="0000FF"/>
      <w:u w:val="single"/>
    </w:rPr>
  </w:style>
  <w:style w:type="paragraph" w:customStyle="1" w:styleId="izq">
    <w:name w:val="izq"/>
    <w:basedOn w:val="Normal"/>
    <w:rsid w:val="00231366"/>
    <w:pPr>
      <w:spacing w:before="100" w:beforeAutospacing="1" w:after="100" w:afterAutospacing="1"/>
    </w:pPr>
  </w:style>
  <w:style w:type="paragraph" w:customStyle="1" w:styleId="texto">
    <w:name w:val="texto"/>
    <w:basedOn w:val="Normal"/>
    <w:rsid w:val="00231366"/>
    <w:pPr>
      <w:spacing w:before="100" w:beforeAutospacing="1" w:after="100" w:afterAutospacing="1"/>
    </w:pPr>
  </w:style>
  <w:style w:type="paragraph" w:customStyle="1" w:styleId="firma">
    <w:name w:val="firma"/>
    <w:basedOn w:val="Normal"/>
    <w:rsid w:val="00231366"/>
    <w:pPr>
      <w:spacing w:before="100" w:beforeAutospacing="1" w:after="100" w:afterAutospacing="1"/>
    </w:pPr>
  </w:style>
  <w:style w:type="paragraph" w:styleId="NormalWeb">
    <w:name w:val="Normal (Web)"/>
    <w:basedOn w:val="Normal"/>
    <w:uiPriority w:val="99"/>
    <w:unhideWhenUsed/>
    <w:rsid w:val="00BA3E50"/>
    <w:pPr>
      <w:spacing w:before="100" w:beforeAutospacing="1" w:after="100" w:afterAutospacing="1"/>
    </w:pPr>
    <w:rPr>
      <w:rFonts w:eastAsia="Times New Roman"/>
    </w:rPr>
  </w:style>
  <w:style w:type="paragraph" w:styleId="Prrafodelista">
    <w:name w:val="List Paragraph"/>
    <w:basedOn w:val="Normal"/>
    <w:uiPriority w:val="34"/>
    <w:qFormat/>
    <w:rsid w:val="0089555D"/>
    <w:pPr>
      <w:ind w:left="720"/>
      <w:contextualSpacing/>
    </w:pPr>
  </w:style>
  <w:style w:type="paragraph" w:styleId="Encabezado">
    <w:name w:val="header"/>
    <w:basedOn w:val="Normal"/>
    <w:link w:val="EncabezadoCar"/>
    <w:uiPriority w:val="99"/>
    <w:unhideWhenUsed/>
    <w:rsid w:val="0066784A"/>
    <w:pPr>
      <w:tabs>
        <w:tab w:val="center" w:pos="4419"/>
        <w:tab w:val="right" w:pos="8838"/>
      </w:tabs>
    </w:pPr>
  </w:style>
  <w:style w:type="character" w:customStyle="1" w:styleId="EncabezadoCar">
    <w:name w:val="Encabezado Car"/>
    <w:basedOn w:val="Fuentedeprrafopredeter"/>
    <w:link w:val="Encabezado"/>
    <w:uiPriority w:val="99"/>
    <w:rsid w:val="0066784A"/>
    <w:rPr>
      <w:rFonts w:ascii="Times New Roman" w:eastAsia="Calibri" w:hAnsi="Times New Roman" w:cs="Times New Roman"/>
      <w:sz w:val="24"/>
      <w:szCs w:val="24"/>
      <w:lang w:eastAsia="es-CL"/>
    </w:rPr>
  </w:style>
  <w:style w:type="paragraph" w:styleId="Piedepgina">
    <w:name w:val="footer"/>
    <w:basedOn w:val="Normal"/>
    <w:link w:val="PiedepginaCar"/>
    <w:uiPriority w:val="99"/>
    <w:unhideWhenUsed/>
    <w:rsid w:val="0066784A"/>
    <w:pPr>
      <w:tabs>
        <w:tab w:val="center" w:pos="4419"/>
        <w:tab w:val="right" w:pos="8838"/>
      </w:tabs>
    </w:pPr>
  </w:style>
  <w:style w:type="character" w:customStyle="1" w:styleId="PiedepginaCar">
    <w:name w:val="Pie de página Car"/>
    <w:basedOn w:val="Fuentedeprrafopredeter"/>
    <w:link w:val="Piedepgina"/>
    <w:uiPriority w:val="99"/>
    <w:rsid w:val="0066784A"/>
    <w:rPr>
      <w:rFonts w:ascii="Times New Roman" w:eastAsia="Calibri" w:hAnsi="Times New Roman" w:cs="Times New Roman"/>
      <w:sz w:val="24"/>
      <w:szCs w:val="24"/>
      <w:lang w:eastAsia="es-CL"/>
    </w:rPr>
  </w:style>
  <w:style w:type="paragraph" w:styleId="HTMLconformatoprevio">
    <w:name w:val="HTML Preformatted"/>
    <w:basedOn w:val="Normal"/>
    <w:link w:val="HTMLconformatoprevioCar"/>
    <w:uiPriority w:val="99"/>
    <w:semiHidden/>
    <w:unhideWhenUsed/>
    <w:rsid w:val="00C574AE"/>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C574AE"/>
    <w:rPr>
      <w:rFonts w:ascii="Consolas" w:eastAsia="Calibri" w:hAnsi="Consolas" w:cs="Consolas"/>
      <w:sz w:val="20"/>
      <w:szCs w:val="20"/>
      <w:lang w:eastAsia="es-CL"/>
    </w:rPr>
  </w:style>
  <w:style w:type="paragraph" w:styleId="Textodeglobo">
    <w:name w:val="Balloon Text"/>
    <w:basedOn w:val="Normal"/>
    <w:link w:val="TextodegloboCar"/>
    <w:uiPriority w:val="99"/>
    <w:semiHidden/>
    <w:unhideWhenUsed/>
    <w:rsid w:val="003273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3A6"/>
    <w:rPr>
      <w:rFonts w:ascii="Tahoma" w:eastAsia="Calibri" w:hAnsi="Tahoma" w:cs="Tahoma"/>
      <w:sz w:val="16"/>
      <w:szCs w:val="16"/>
      <w:lang w:eastAsia="es-CL"/>
    </w:rPr>
  </w:style>
  <w:style w:type="paragraph" w:customStyle="1" w:styleId="Default">
    <w:name w:val="Default"/>
    <w:rsid w:val="00755AE5"/>
    <w:pPr>
      <w:autoSpaceDE w:val="0"/>
      <w:autoSpaceDN w:val="0"/>
      <w:adjustRightInd w:val="0"/>
      <w:spacing w:after="0" w:line="240" w:lineRule="auto"/>
    </w:pPr>
    <w:rPr>
      <w:rFonts w:ascii="Gill Sans MT" w:eastAsia="Times New Roman" w:hAnsi="Gill Sans MT" w:cs="Gill Sans MT"/>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457">
      <w:bodyDiv w:val="1"/>
      <w:marLeft w:val="0"/>
      <w:marRight w:val="0"/>
      <w:marTop w:val="0"/>
      <w:marBottom w:val="0"/>
      <w:divBdr>
        <w:top w:val="none" w:sz="0" w:space="0" w:color="auto"/>
        <w:left w:val="none" w:sz="0" w:space="0" w:color="auto"/>
        <w:bottom w:val="none" w:sz="0" w:space="0" w:color="auto"/>
        <w:right w:val="none" w:sz="0" w:space="0" w:color="auto"/>
      </w:divBdr>
    </w:div>
    <w:div w:id="313488445">
      <w:bodyDiv w:val="1"/>
      <w:marLeft w:val="0"/>
      <w:marRight w:val="0"/>
      <w:marTop w:val="0"/>
      <w:marBottom w:val="0"/>
      <w:divBdr>
        <w:top w:val="none" w:sz="0" w:space="0" w:color="auto"/>
        <w:left w:val="none" w:sz="0" w:space="0" w:color="auto"/>
        <w:bottom w:val="none" w:sz="0" w:space="0" w:color="auto"/>
        <w:right w:val="none" w:sz="0" w:space="0" w:color="auto"/>
      </w:divBdr>
    </w:div>
    <w:div w:id="616066294">
      <w:bodyDiv w:val="1"/>
      <w:marLeft w:val="0"/>
      <w:marRight w:val="0"/>
      <w:marTop w:val="0"/>
      <w:marBottom w:val="0"/>
      <w:divBdr>
        <w:top w:val="none" w:sz="0" w:space="0" w:color="auto"/>
        <w:left w:val="none" w:sz="0" w:space="0" w:color="auto"/>
        <w:bottom w:val="none" w:sz="0" w:space="0" w:color="auto"/>
        <w:right w:val="none" w:sz="0" w:space="0" w:color="auto"/>
      </w:divBdr>
      <w:divsChild>
        <w:div w:id="158225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8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50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405">
          <w:marLeft w:val="0"/>
          <w:marRight w:val="0"/>
          <w:marTop w:val="0"/>
          <w:marBottom w:val="0"/>
          <w:divBdr>
            <w:top w:val="none" w:sz="0" w:space="0" w:color="auto"/>
            <w:left w:val="none" w:sz="0" w:space="0" w:color="auto"/>
            <w:bottom w:val="none" w:sz="0" w:space="0" w:color="auto"/>
            <w:right w:val="none" w:sz="0" w:space="0" w:color="auto"/>
          </w:divBdr>
        </w:div>
      </w:divsChild>
    </w:div>
    <w:div w:id="810441709">
      <w:bodyDiv w:val="1"/>
      <w:marLeft w:val="0"/>
      <w:marRight w:val="0"/>
      <w:marTop w:val="0"/>
      <w:marBottom w:val="0"/>
      <w:divBdr>
        <w:top w:val="none" w:sz="0" w:space="0" w:color="auto"/>
        <w:left w:val="none" w:sz="0" w:space="0" w:color="auto"/>
        <w:bottom w:val="none" w:sz="0" w:space="0" w:color="auto"/>
        <w:right w:val="none" w:sz="0" w:space="0" w:color="auto"/>
      </w:divBdr>
    </w:div>
    <w:div w:id="995913416">
      <w:bodyDiv w:val="1"/>
      <w:marLeft w:val="0"/>
      <w:marRight w:val="0"/>
      <w:marTop w:val="0"/>
      <w:marBottom w:val="0"/>
      <w:divBdr>
        <w:top w:val="none" w:sz="0" w:space="0" w:color="auto"/>
        <w:left w:val="none" w:sz="0" w:space="0" w:color="auto"/>
        <w:bottom w:val="none" w:sz="0" w:space="0" w:color="auto"/>
        <w:right w:val="none" w:sz="0" w:space="0" w:color="auto"/>
      </w:divBdr>
    </w:div>
    <w:div w:id="1142504006">
      <w:bodyDiv w:val="1"/>
      <w:marLeft w:val="0"/>
      <w:marRight w:val="0"/>
      <w:marTop w:val="0"/>
      <w:marBottom w:val="0"/>
      <w:divBdr>
        <w:top w:val="none" w:sz="0" w:space="0" w:color="auto"/>
        <w:left w:val="none" w:sz="0" w:space="0" w:color="auto"/>
        <w:bottom w:val="none" w:sz="0" w:space="0" w:color="auto"/>
        <w:right w:val="none" w:sz="0" w:space="0" w:color="auto"/>
      </w:divBdr>
    </w:div>
    <w:div w:id="1287152497">
      <w:bodyDiv w:val="1"/>
      <w:marLeft w:val="0"/>
      <w:marRight w:val="0"/>
      <w:marTop w:val="0"/>
      <w:marBottom w:val="0"/>
      <w:divBdr>
        <w:top w:val="none" w:sz="0" w:space="0" w:color="auto"/>
        <w:left w:val="none" w:sz="0" w:space="0" w:color="auto"/>
        <w:bottom w:val="none" w:sz="0" w:space="0" w:color="auto"/>
        <w:right w:val="none" w:sz="0" w:space="0" w:color="auto"/>
      </w:divBdr>
    </w:div>
    <w:div w:id="1473912946">
      <w:bodyDiv w:val="1"/>
      <w:marLeft w:val="0"/>
      <w:marRight w:val="0"/>
      <w:marTop w:val="0"/>
      <w:marBottom w:val="0"/>
      <w:divBdr>
        <w:top w:val="none" w:sz="0" w:space="0" w:color="auto"/>
        <w:left w:val="none" w:sz="0" w:space="0" w:color="auto"/>
        <w:bottom w:val="none" w:sz="0" w:space="0" w:color="auto"/>
        <w:right w:val="none" w:sz="0" w:space="0" w:color="auto"/>
      </w:divBdr>
    </w:div>
    <w:div w:id="213328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3A9B-A40B-45CE-BE7C-EF8513E9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Comision Nacional del Medio Ambiente</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Huentecura Cortez</dc:creator>
  <cp:lastModifiedBy>Orlando Nuñez Muñoz</cp:lastModifiedBy>
  <cp:revision>2</cp:revision>
  <dcterms:created xsi:type="dcterms:W3CDTF">2019-01-18T13:22:00Z</dcterms:created>
  <dcterms:modified xsi:type="dcterms:W3CDTF">2019-01-18T13:22:00Z</dcterms:modified>
</cp:coreProperties>
</file>